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5CD5" w:rsidRPr="00BA5CD5" w:rsidRDefault="00BA5CD5" w:rsidP="00BA5CD5">
      <w:pPr>
        <w:tabs>
          <w:tab w:val="left" w:pos="6435"/>
          <w:tab w:val="left" w:pos="8295"/>
        </w:tabs>
        <w:spacing w:before="100" w:beforeAutospacing="1" w:after="100" w:afterAutospacing="1" w:line="360" w:lineRule="auto"/>
        <w:rPr>
          <w:b/>
          <w:bCs/>
          <w:sz w:val="26"/>
          <w:szCs w:val="26"/>
        </w:rPr>
      </w:pPr>
      <w:r w:rsidRPr="00BA5CD5">
        <w:rPr>
          <w:b/>
          <w:bCs/>
          <w:sz w:val="26"/>
          <w:szCs w:val="26"/>
        </w:rPr>
        <w:tab/>
      </w:r>
    </w:p>
    <w:p w:rsidR="00BA5CD5" w:rsidRPr="00DC5B3A" w:rsidRDefault="00F07EDD" w:rsidP="00DC5B3A">
      <w:pPr>
        <w:tabs>
          <w:tab w:val="left" w:pos="4020"/>
        </w:tabs>
        <w:spacing w:before="100" w:beforeAutospacing="1" w:after="100" w:afterAutospacing="1" w:line="360" w:lineRule="auto"/>
        <w:jc w:val="both"/>
        <w:rPr>
          <w:b/>
          <w:bCs/>
          <w:sz w:val="26"/>
          <w:szCs w:val="26"/>
          <w:u w:val="single"/>
        </w:rPr>
      </w:pPr>
      <w:r w:rsidRPr="00DC5B3A">
        <w:rPr>
          <w:b/>
          <w:sz w:val="26"/>
          <w:szCs w:val="26"/>
        </w:rPr>
        <w:t>V</w:t>
      </w:r>
      <w:r w:rsidR="00BA5CD5" w:rsidRPr="00DC5B3A">
        <w:rPr>
          <w:b/>
          <w:sz w:val="26"/>
          <w:szCs w:val="26"/>
        </w:rPr>
        <w:t xml:space="preserve">.1. </w:t>
      </w:r>
      <w:r w:rsidRPr="00DC5B3A">
        <w:rPr>
          <w:b/>
          <w:bCs/>
          <w:sz w:val="26"/>
          <w:szCs w:val="26"/>
        </w:rPr>
        <w:t>INTRODUCTION :</w:t>
      </w:r>
      <w:r w:rsidR="00DC5B3A" w:rsidRPr="00DC5B3A">
        <w:rPr>
          <w:b/>
          <w:bCs/>
          <w:sz w:val="26"/>
          <w:szCs w:val="26"/>
        </w:rPr>
        <w:t xml:space="preserve"> </w:t>
      </w:r>
      <w:r w:rsidR="009E565E" w:rsidRPr="00DC5B3A">
        <w:rPr>
          <w:b/>
          <w:bCs/>
          <w:sz w:val="26"/>
          <w:szCs w:val="26"/>
        </w:rPr>
        <w:t>[12]</w:t>
      </w:r>
      <w:r w:rsidR="00BA5CD5" w:rsidRPr="00DC5B3A">
        <w:rPr>
          <w:b/>
          <w:bCs/>
          <w:sz w:val="26"/>
          <w:szCs w:val="26"/>
        </w:rPr>
        <w:tab/>
      </w:r>
      <w:r w:rsidR="00BA5CD5" w:rsidRPr="00DC5B3A">
        <w:rPr>
          <w:b/>
          <w:bCs/>
          <w:sz w:val="26"/>
          <w:szCs w:val="26"/>
          <w:u w:val="single"/>
        </w:rPr>
        <w:t xml:space="preserve"> </w:t>
      </w:r>
    </w:p>
    <w:p w:rsidR="00BA5CD5" w:rsidRPr="004240B6" w:rsidRDefault="00BA5CD5" w:rsidP="00BA5CD5">
      <w:pPr>
        <w:spacing w:before="100" w:beforeAutospacing="1" w:after="100" w:afterAutospacing="1" w:line="360" w:lineRule="auto"/>
        <w:ind w:firstLine="709"/>
        <w:jc w:val="both"/>
      </w:pPr>
      <w:r w:rsidRPr="004240B6">
        <w:t>Afin de maitriser la méthode de calcul ainsi que les différentes simulations qu’on se propose de faire, il est important de comprendre le procédé de fabrication du propane et butane commerciaux du complexe GP1/Z. nous donnerons un peu plus de détails sur la section  de fractionnement  qui’ est l’objet de notre étude.</w:t>
      </w:r>
    </w:p>
    <w:p w:rsidR="00BA5CD5" w:rsidRPr="00DC5B3A" w:rsidRDefault="00DC5B3A" w:rsidP="00BA5CD5">
      <w:pPr>
        <w:spacing w:before="100" w:beforeAutospacing="1" w:after="100" w:afterAutospacing="1" w:line="360" w:lineRule="auto"/>
        <w:jc w:val="both"/>
        <w:rPr>
          <w:b/>
          <w:bCs/>
          <w:sz w:val="26"/>
          <w:szCs w:val="26"/>
          <w:u w:val="single"/>
        </w:rPr>
      </w:pPr>
      <w:r>
        <w:rPr>
          <w:b/>
        </w:rPr>
        <w:t xml:space="preserve"> </w:t>
      </w:r>
      <w:r w:rsidR="00F07EDD" w:rsidRPr="00DC5B3A">
        <w:rPr>
          <w:b/>
          <w:sz w:val="26"/>
          <w:szCs w:val="26"/>
        </w:rPr>
        <w:t>V</w:t>
      </w:r>
      <w:r w:rsidR="00BA5CD5" w:rsidRPr="00DC5B3A">
        <w:rPr>
          <w:b/>
          <w:sz w:val="26"/>
          <w:szCs w:val="26"/>
        </w:rPr>
        <w:t xml:space="preserve">.2. </w:t>
      </w:r>
      <w:r w:rsidR="00F07EDD" w:rsidRPr="00DC5B3A">
        <w:rPr>
          <w:b/>
          <w:bCs/>
          <w:sz w:val="26"/>
          <w:szCs w:val="26"/>
        </w:rPr>
        <w:t>FONCTIONNEMENT DU TRAIN :</w:t>
      </w:r>
    </w:p>
    <w:p w:rsidR="00BA5CD5" w:rsidRPr="004240B6" w:rsidRDefault="00DC5B3A" w:rsidP="00BA5CD5">
      <w:pPr>
        <w:spacing w:before="100" w:beforeAutospacing="1" w:after="100" w:afterAutospacing="1" w:line="360" w:lineRule="auto"/>
        <w:ind w:firstLine="284"/>
        <w:jc w:val="both"/>
        <w:rPr>
          <w:b/>
          <w:bCs/>
          <w:u w:val="single"/>
        </w:rPr>
      </w:pPr>
      <w:r>
        <w:rPr>
          <w:b/>
        </w:rPr>
        <w:t xml:space="preserve">       </w:t>
      </w:r>
      <w:r w:rsidR="00F07EDD">
        <w:rPr>
          <w:b/>
        </w:rPr>
        <w:t>V</w:t>
      </w:r>
      <w:r w:rsidR="00BA5CD5">
        <w:rPr>
          <w:b/>
        </w:rPr>
        <w:t>.</w:t>
      </w:r>
      <w:r w:rsidR="00BA5CD5" w:rsidRPr="004240B6">
        <w:rPr>
          <w:b/>
        </w:rPr>
        <w:t xml:space="preserve">2.1. </w:t>
      </w:r>
      <w:r w:rsidR="00BA5CD5" w:rsidRPr="004240B6">
        <w:rPr>
          <w:b/>
          <w:bCs/>
          <w:u w:val="single"/>
        </w:rPr>
        <w:t>Section de déshydratation :</w:t>
      </w:r>
    </w:p>
    <w:p w:rsidR="00BA5CD5" w:rsidRPr="004240B6" w:rsidRDefault="00BA5CD5" w:rsidP="00BA5CD5">
      <w:pPr>
        <w:tabs>
          <w:tab w:val="left" w:pos="709"/>
        </w:tabs>
        <w:spacing w:before="100" w:beforeAutospacing="1" w:after="100" w:afterAutospacing="1" w:line="360" w:lineRule="auto"/>
        <w:ind w:firstLine="709"/>
        <w:jc w:val="both"/>
      </w:pPr>
      <w:r w:rsidRPr="004240B6">
        <w:t>Le but de la section de déshydratation est de réduire la teneur d’eau dans la charge de 100 ppm à 5ppm afin d’éviter la formation de la glace et les bouchons de givre dans les parties froides de l’installation. Cette section  comprend trois colonnes  d’adsorption à tamis moléculaire tous instant on a une colonne en service (adsorption), l’autre en régénération et la dernière en attente.</w:t>
      </w:r>
      <w:r w:rsidR="0079511F">
        <w:t xml:space="preserve"> </w:t>
      </w:r>
      <w:r w:rsidR="009E565E">
        <w:t>[12]</w:t>
      </w:r>
    </w:p>
    <w:p w:rsidR="00BA5CD5" w:rsidRPr="004240B6" w:rsidRDefault="00DC5B3A" w:rsidP="00BA5CD5">
      <w:pPr>
        <w:spacing w:before="100" w:beforeAutospacing="1" w:after="100" w:afterAutospacing="1" w:line="360" w:lineRule="auto"/>
        <w:ind w:firstLine="284"/>
        <w:jc w:val="both"/>
        <w:rPr>
          <w:b/>
          <w:bCs/>
          <w:u w:val="single"/>
        </w:rPr>
      </w:pPr>
      <w:r>
        <w:rPr>
          <w:b/>
        </w:rPr>
        <w:t xml:space="preserve">       </w:t>
      </w:r>
      <w:r w:rsidR="00F07EDD">
        <w:rPr>
          <w:b/>
        </w:rPr>
        <w:t>V</w:t>
      </w:r>
      <w:r w:rsidR="00BA5CD5">
        <w:rPr>
          <w:b/>
        </w:rPr>
        <w:t>.</w:t>
      </w:r>
      <w:r w:rsidR="00BA5CD5" w:rsidRPr="004240B6">
        <w:rPr>
          <w:b/>
        </w:rPr>
        <w:t xml:space="preserve">2.2. </w:t>
      </w:r>
      <w:r w:rsidR="00BA5CD5" w:rsidRPr="004240B6">
        <w:rPr>
          <w:b/>
          <w:bCs/>
          <w:u w:val="single"/>
        </w:rPr>
        <w:t>Section de séparation :</w:t>
      </w:r>
    </w:p>
    <w:p w:rsidR="00BA5CD5" w:rsidRPr="004240B6" w:rsidRDefault="00BA5CD5" w:rsidP="00BA5CD5">
      <w:pPr>
        <w:spacing w:before="100" w:beforeAutospacing="1" w:after="100" w:afterAutospacing="1" w:line="360" w:lineRule="auto"/>
        <w:ind w:firstLine="284"/>
        <w:jc w:val="both"/>
      </w:pPr>
      <w:r w:rsidRPr="004240B6">
        <w:t>Cette section assure la séparation du GPL en produits finis, elle comprend :</w:t>
      </w:r>
    </w:p>
    <w:p w:rsidR="00BA5CD5" w:rsidRPr="004240B6" w:rsidRDefault="00BA5CD5" w:rsidP="00BA5CD5">
      <w:pPr>
        <w:spacing w:before="100" w:beforeAutospacing="1" w:after="100" w:afterAutospacing="1" w:line="360" w:lineRule="auto"/>
        <w:ind w:firstLine="284"/>
        <w:jc w:val="both"/>
      </w:pPr>
      <w:r w:rsidRPr="004240B6">
        <w:t xml:space="preserve">        Trois préchauffeurs(E-1004, E-1005 A, B, C, D, E-1013)</w:t>
      </w:r>
    </w:p>
    <w:p w:rsidR="00BA5CD5" w:rsidRPr="004240B6" w:rsidRDefault="00BA5CD5" w:rsidP="00BA5CD5">
      <w:pPr>
        <w:spacing w:before="100" w:beforeAutospacing="1" w:after="100" w:afterAutospacing="1" w:line="360" w:lineRule="auto"/>
        <w:ind w:firstLine="284"/>
        <w:jc w:val="both"/>
      </w:pPr>
      <w:r w:rsidRPr="004240B6">
        <w:t xml:space="preserve">         Un fractionnateur (V-1101)</w:t>
      </w:r>
    </w:p>
    <w:p w:rsidR="00BA5CD5" w:rsidRPr="004240B6" w:rsidRDefault="00BA5CD5" w:rsidP="00BA5CD5">
      <w:pPr>
        <w:spacing w:before="100" w:beforeAutospacing="1" w:after="100" w:afterAutospacing="1" w:line="360" w:lineRule="auto"/>
        <w:ind w:firstLine="284"/>
        <w:jc w:val="both"/>
      </w:pPr>
      <w:r w:rsidRPr="004240B6">
        <w:t xml:space="preserve">         Un déetaniseur (V-1102)</w:t>
      </w:r>
    </w:p>
    <w:p w:rsidR="00BA5CD5" w:rsidRPr="004240B6" w:rsidRDefault="00BA5CD5" w:rsidP="00BA5CD5">
      <w:pPr>
        <w:spacing w:before="100" w:beforeAutospacing="1" w:after="100" w:afterAutospacing="1" w:line="360" w:lineRule="auto"/>
        <w:ind w:firstLine="284"/>
        <w:jc w:val="both"/>
      </w:pPr>
      <w:r w:rsidRPr="004240B6">
        <w:t xml:space="preserve">         Un dépentaniseur (V-1103)</w:t>
      </w:r>
    </w:p>
    <w:p w:rsidR="00BA5CD5" w:rsidRPr="004240B6" w:rsidRDefault="00BA5CD5" w:rsidP="00BA5CD5">
      <w:pPr>
        <w:spacing w:before="100" w:beforeAutospacing="1" w:after="100" w:afterAutospacing="1" w:line="360" w:lineRule="auto"/>
        <w:ind w:firstLine="284"/>
        <w:jc w:val="both"/>
      </w:pPr>
      <w:r w:rsidRPr="004240B6">
        <w:t xml:space="preserve">         Un condenseur de tete de fractionnateur (E-1002)</w:t>
      </w:r>
    </w:p>
    <w:p w:rsidR="00BA5CD5" w:rsidRPr="004240B6" w:rsidRDefault="00BA5CD5" w:rsidP="00BA5CD5">
      <w:pPr>
        <w:spacing w:before="100" w:beforeAutospacing="1" w:after="100" w:afterAutospacing="1" w:line="360" w:lineRule="auto"/>
        <w:ind w:firstLine="284"/>
        <w:jc w:val="both"/>
      </w:pPr>
      <w:r w:rsidRPr="004240B6">
        <w:t xml:space="preserve">          Une pompe de reflux de fractionnateur (P-1002 A, B)</w:t>
      </w:r>
    </w:p>
    <w:p w:rsidR="00BA5CD5" w:rsidRPr="004240B6" w:rsidRDefault="00BA5CD5" w:rsidP="00BA5CD5">
      <w:pPr>
        <w:spacing w:before="100" w:beforeAutospacing="1" w:after="100" w:afterAutospacing="1" w:line="360" w:lineRule="auto"/>
        <w:ind w:firstLine="284"/>
        <w:jc w:val="both"/>
      </w:pPr>
      <w:r w:rsidRPr="004240B6">
        <w:t xml:space="preserve">          Une pompe de reflux de déetaniseur (P-1004 A, B)</w:t>
      </w:r>
    </w:p>
    <w:p w:rsidR="00BA5CD5" w:rsidRPr="004240B6" w:rsidRDefault="00BA5CD5" w:rsidP="00BA5CD5">
      <w:pPr>
        <w:spacing w:before="100" w:beforeAutospacing="1" w:after="100" w:afterAutospacing="1" w:line="360" w:lineRule="auto"/>
        <w:ind w:firstLine="284"/>
        <w:jc w:val="both"/>
      </w:pPr>
      <w:r w:rsidRPr="004240B6">
        <w:t xml:space="preserve">          Une pompe du déetaniseur (P-1005 A, B)</w:t>
      </w:r>
    </w:p>
    <w:p w:rsidR="00BA5CD5" w:rsidRPr="004240B6" w:rsidRDefault="00BA5CD5" w:rsidP="00BA5CD5">
      <w:pPr>
        <w:spacing w:before="100" w:beforeAutospacing="1" w:after="100" w:afterAutospacing="1" w:line="360" w:lineRule="auto"/>
        <w:ind w:firstLine="284"/>
        <w:jc w:val="both"/>
      </w:pPr>
      <w:r w:rsidRPr="004240B6">
        <w:lastRenderedPageBreak/>
        <w:t xml:space="preserve">          Un rebouilleur de fractionnateur (E-1003 A, B)</w:t>
      </w:r>
    </w:p>
    <w:p w:rsidR="00BA5CD5" w:rsidRPr="004240B6" w:rsidRDefault="00BA5CD5" w:rsidP="00BA5CD5">
      <w:pPr>
        <w:spacing w:before="100" w:beforeAutospacing="1" w:after="100" w:afterAutospacing="1" w:line="360" w:lineRule="auto"/>
        <w:ind w:firstLine="284"/>
        <w:jc w:val="both"/>
      </w:pPr>
      <w:r w:rsidRPr="004240B6">
        <w:t xml:space="preserve">          Un rebouilleur du déetaniseur (E-1007)</w:t>
      </w:r>
    </w:p>
    <w:p w:rsidR="00BA5CD5" w:rsidRPr="004240B6" w:rsidRDefault="00BA5CD5" w:rsidP="00BA5CD5">
      <w:pPr>
        <w:spacing w:before="100" w:beforeAutospacing="1" w:after="100" w:afterAutospacing="1" w:line="360" w:lineRule="auto"/>
        <w:ind w:firstLine="284"/>
        <w:jc w:val="both"/>
      </w:pPr>
      <w:r w:rsidRPr="004240B6">
        <w:t xml:space="preserve">          Un rebouilleur  du dépentaniseur (E-1009)</w:t>
      </w:r>
    </w:p>
    <w:p w:rsidR="00BA5CD5" w:rsidRPr="004240B6" w:rsidRDefault="00F07EDD" w:rsidP="00BA5CD5">
      <w:pPr>
        <w:spacing w:before="100" w:beforeAutospacing="1" w:after="100" w:afterAutospacing="1" w:line="360" w:lineRule="auto"/>
        <w:ind w:firstLine="709"/>
        <w:jc w:val="both"/>
        <w:rPr>
          <w:b/>
          <w:bCs/>
          <w:u w:val="single"/>
        </w:rPr>
      </w:pPr>
      <w:r>
        <w:rPr>
          <w:b/>
        </w:rPr>
        <w:t>V</w:t>
      </w:r>
      <w:r w:rsidR="00BA5CD5">
        <w:rPr>
          <w:b/>
        </w:rPr>
        <w:t>.</w:t>
      </w:r>
      <w:r w:rsidR="00BA5CD5" w:rsidRPr="004240B6">
        <w:rPr>
          <w:b/>
        </w:rPr>
        <w:t xml:space="preserve">2.3. </w:t>
      </w:r>
      <w:r w:rsidR="00BA5CD5" w:rsidRPr="004240B6">
        <w:rPr>
          <w:b/>
          <w:bCs/>
          <w:u w:val="single"/>
        </w:rPr>
        <w:t>Section de réfrigération :</w:t>
      </w:r>
      <w:r w:rsidR="009E565E" w:rsidRPr="009E565E">
        <w:rPr>
          <w:b/>
          <w:bCs/>
        </w:rPr>
        <w:t>[12]</w:t>
      </w:r>
    </w:p>
    <w:p w:rsidR="00BA5CD5" w:rsidRPr="004240B6" w:rsidRDefault="00BA5CD5" w:rsidP="00BA5CD5">
      <w:pPr>
        <w:tabs>
          <w:tab w:val="left" w:pos="709"/>
        </w:tabs>
        <w:spacing w:before="100" w:beforeAutospacing="1" w:after="100" w:afterAutospacing="1" w:line="360" w:lineRule="auto"/>
        <w:ind w:firstLine="284"/>
        <w:jc w:val="both"/>
      </w:pPr>
      <w:r>
        <w:t xml:space="preserve">       </w:t>
      </w:r>
      <w:r w:rsidRPr="004240B6">
        <w:t xml:space="preserve">La section est conçue pour refroidir les produits finis à la température de liquéfaction à pression atmosphérique soit </w:t>
      </w:r>
      <w:r w:rsidRPr="004240B6">
        <w:rPr>
          <w:b/>
          <w:bCs/>
        </w:rPr>
        <w:t>-40 c°</w:t>
      </w:r>
      <w:r w:rsidRPr="004240B6">
        <w:t xml:space="preserve"> pour le propane et </w:t>
      </w:r>
      <w:r w:rsidRPr="004240B6">
        <w:rPr>
          <w:b/>
          <w:bCs/>
        </w:rPr>
        <w:t>-12 c°</w:t>
      </w:r>
      <w:r w:rsidRPr="004240B6">
        <w:t xml:space="preserve"> pour le butane. Le circuit du réfrigérant est une boucle fermée, on utilise le propane pur comme fluide réfrigérant, il est s’écoulé du ballon (V-1109).</w:t>
      </w:r>
    </w:p>
    <w:p w:rsidR="00BA5CD5" w:rsidRPr="004240B6" w:rsidRDefault="00DC5B3A" w:rsidP="00BA5CD5">
      <w:pPr>
        <w:spacing w:before="100" w:beforeAutospacing="1" w:after="100" w:afterAutospacing="1" w:line="360" w:lineRule="auto"/>
        <w:jc w:val="both"/>
        <w:rPr>
          <w:b/>
          <w:bCs/>
          <w:u w:val="single"/>
        </w:rPr>
      </w:pPr>
      <w:r>
        <w:rPr>
          <w:b/>
        </w:rPr>
        <w:t xml:space="preserve">            </w:t>
      </w:r>
      <w:r w:rsidR="00F07EDD">
        <w:rPr>
          <w:b/>
        </w:rPr>
        <w:t>V</w:t>
      </w:r>
      <w:r w:rsidR="00BA5CD5">
        <w:rPr>
          <w:b/>
        </w:rPr>
        <w:t>.</w:t>
      </w:r>
      <w:r w:rsidR="00BA5CD5" w:rsidRPr="004240B6">
        <w:rPr>
          <w:b/>
        </w:rPr>
        <w:t xml:space="preserve">2.4. </w:t>
      </w:r>
      <w:r w:rsidR="00BA5CD5" w:rsidRPr="004240B6">
        <w:rPr>
          <w:b/>
          <w:bCs/>
          <w:u w:val="single"/>
        </w:rPr>
        <w:t>Section de l’huile chaude </w:t>
      </w:r>
      <w:r w:rsidR="00BA5CD5" w:rsidRPr="009E565E">
        <w:rPr>
          <w:b/>
          <w:bCs/>
        </w:rPr>
        <w:t>:</w:t>
      </w:r>
      <w:r w:rsidR="009E565E" w:rsidRPr="009E565E">
        <w:rPr>
          <w:b/>
          <w:bCs/>
        </w:rPr>
        <w:t xml:space="preserve"> [12]</w:t>
      </w:r>
    </w:p>
    <w:p w:rsidR="00BA5CD5" w:rsidRPr="004240B6" w:rsidRDefault="00BA5CD5" w:rsidP="00BA5CD5">
      <w:pPr>
        <w:spacing w:before="100" w:beforeAutospacing="1" w:after="100" w:afterAutospacing="1" w:line="360" w:lineRule="auto"/>
        <w:ind w:firstLine="284"/>
        <w:jc w:val="both"/>
      </w:pPr>
      <w:r>
        <w:t xml:space="preserve">     </w:t>
      </w:r>
      <w:r w:rsidRPr="004240B6">
        <w:t>Cette section de fluide caloporteur est utilisée comme source de chaleur pour le troisième préchauffeur (E-1013), pour les rebouilleurs de la section de séparation et pour chauffer le gaz nature de la régénération de la section de déshydratation. Le circuit de ce fluide est une boucle fermée, les pompes aspirent l’huile du ballon  d’expansion et le refoule vers le four.</w:t>
      </w:r>
    </w:p>
    <w:p w:rsidR="005936E5" w:rsidRDefault="00BA5CD5" w:rsidP="005936E5">
      <w:pPr>
        <w:spacing w:before="100" w:beforeAutospacing="1" w:after="100" w:afterAutospacing="1" w:line="360" w:lineRule="auto"/>
        <w:ind w:firstLine="284"/>
        <w:jc w:val="both"/>
      </w:pPr>
      <w:r w:rsidRPr="004240B6">
        <w:t xml:space="preserve"> </w:t>
      </w:r>
      <w:r>
        <w:t xml:space="preserve">     </w:t>
      </w:r>
      <w:r w:rsidRPr="004240B6">
        <w:t>Au niveau du four, l’huile est chauffée jusqu’à180c°, ensuite elle est dirigée vers les différents utilisateurs, à son retour l’huile est refroidie à 130c°.</w:t>
      </w:r>
    </w:p>
    <w:p w:rsidR="00BA5CD5" w:rsidRPr="005936E5" w:rsidRDefault="00F07EDD" w:rsidP="005936E5">
      <w:pPr>
        <w:spacing w:before="100" w:beforeAutospacing="1" w:after="100" w:afterAutospacing="1" w:line="360" w:lineRule="auto"/>
        <w:ind w:firstLine="284"/>
        <w:jc w:val="both"/>
      </w:pPr>
      <w:r w:rsidRPr="00DC5B3A">
        <w:rPr>
          <w:b/>
          <w:sz w:val="26"/>
          <w:szCs w:val="26"/>
        </w:rPr>
        <w:t>V</w:t>
      </w:r>
      <w:r w:rsidR="00BA5CD5" w:rsidRPr="00DC5B3A">
        <w:rPr>
          <w:b/>
          <w:sz w:val="26"/>
          <w:szCs w:val="26"/>
        </w:rPr>
        <w:t xml:space="preserve">.3. </w:t>
      </w:r>
      <w:r w:rsidRPr="00DC5B3A">
        <w:rPr>
          <w:b/>
          <w:bCs/>
          <w:sz w:val="26"/>
          <w:szCs w:val="26"/>
        </w:rPr>
        <w:t>DESCRIPTION DE LA SECTION DE SEPARATION :</w:t>
      </w:r>
    </w:p>
    <w:p w:rsidR="00BA5CD5" w:rsidRPr="004240B6" w:rsidRDefault="00F07EDD" w:rsidP="00BA5CD5">
      <w:pPr>
        <w:spacing w:before="100" w:beforeAutospacing="1" w:after="100" w:afterAutospacing="1" w:line="360" w:lineRule="auto"/>
        <w:ind w:firstLine="284"/>
        <w:jc w:val="both"/>
        <w:rPr>
          <w:b/>
          <w:bCs/>
          <w:u w:val="single"/>
        </w:rPr>
      </w:pPr>
      <w:r>
        <w:rPr>
          <w:b/>
        </w:rPr>
        <w:t xml:space="preserve">      </w:t>
      </w:r>
      <w:r w:rsidR="00DC5B3A">
        <w:rPr>
          <w:b/>
        </w:rPr>
        <w:t xml:space="preserve"> </w:t>
      </w:r>
      <w:r>
        <w:rPr>
          <w:b/>
        </w:rPr>
        <w:t>V.</w:t>
      </w:r>
      <w:r w:rsidR="00BA5CD5">
        <w:rPr>
          <w:b/>
        </w:rPr>
        <w:t xml:space="preserve"> </w:t>
      </w:r>
      <w:r w:rsidR="00BA5CD5" w:rsidRPr="004240B6">
        <w:rPr>
          <w:b/>
        </w:rPr>
        <w:t xml:space="preserve">3.1. </w:t>
      </w:r>
      <w:r w:rsidR="00BA5CD5" w:rsidRPr="004240B6">
        <w:rPr>
          <w:b/>
          <w:bCs/>
          <w:u w:val="single"/>
        </w:rPr>
        <w:t>Description générale</w:t>
      </w:r>
      <w:r w:rsidR="00BA5CD5" w:rsidRPr="006A13E6">
        <w:rPr>
          <w:b/>
          <w:bCs/>
        </w:rPr>
        <w:t> :</w:t>
      </w:r>
      <w:r w:rsidR="009E565E">
        <w:rPr>
          <w:b/>
          <w:bCs/>
        </w:rPr>
        <w:t xml:space="preserve"> [12]</w:t>
      </w:r>
    </w:p>
    <w:p w:rsidR="00BA5CD5" w:rsidRPr="004240B6" w:rsidRDefault="00BA5CD5" w:rsidP="00BA5CD5">
      <w:pPr>
        <w:spacing w:before="100" w:beforeAutospacing="1" w:after="100" w:afterAutospacing="1" w:line="360" w:lineRule="auto"/>
        <w:ind w:firstLine="708"/>
        <w:jc w:val="both"/>
      </w:pPr>
      <w:r w:rsidRPr="004240B6">
        <w:t>La section de séparation à pour le but de séparer le GPL brut en produit commerciaux, avec un taux de récupération maximum, aussi bien pour le propane que pour le butane.</w:t>
      </w:r>
    </w:p>
    <w:p w:rsidR="00BA5CD5" w:rsidRPr="004240B6" w:rsidRDefault="00BA5CD5" w:rsidP="00BA5CD5">
      <w:pPr>
        <w:spacing w:before="100" w:beforeAutospacing="1" w:after="100" w:afterAutospacing="1" w:line="360" w:lineRule="auto"/>
        <w:ind w:firstLine="708"/>
        <w:jc w:val="both"/>
      </w:pPr>
      <w:r w:rsidRPr="004240B6">
        <w:t>L’alimentation de la section se fait en GPL brut depuis l’unité de déshydratation de la charge. Avant d’atteindre le fractionnateur (V-1101), le GPL récupère d’abord la chaleur du propane produit sortant du fond du déethaniseur (V-1102) dans l’échangeur (E-1104), la deuxième récupération de la chaleur se fait au niveau des échangeurs (E-1005 A, D) cette fois –ci avec le produit du fond du fractionnateur.</w:t>
      </w:r>
    </w:p>
    <w:p w:rsidR="00BA5CD5" w:rsidRPr="004240B6" w:rsidRDefault="00BA5CD5" w:rsidP="00BA5CD5">
      <w:pPr>
        <w:spacing w:before="100" w:beforeAutospacing="1" w:after="100" w:afterAutospacing="1" w:line="360" w:lineRule="auto"/>
        <w:ind w:firstLine="708"/>
        <w:jc w:val="both"/>
      </w:pPr>
      <w:r w:rsidRPr="004240B6">
        <w:lastRenderedPageBreak/>
        <w:t>Le GPL est finalement amené à son point de bulle dans le préchauffeur (E-1013) ce dernier fait appel au fluide caloporteur avec contrôle de la température de sortie du (E-1013) ainsi que le débit de la charge qui’ est réglé selon le point de consigne du contrôleur de débit situe en limite d’unité.</w:t>
      </w:r>
    </w:p>
    <w:p w:rsidR="00BA5CD5" w:rsidRPr="004240B6" w:rsidRDefault="00BA5CD5" w:rsidP="00BA5CD5">
      <w:pPr>
        <w:spacing w:before="100" w:beforeAutospacing="1" w:after="100" w:afterAutospacing="1" w:line="360" w:lineRule="auto"/>
        <w:ind w:firstLine="708"/>
        <w:jc w:val="both"/>
      </w:pPr>
      <w:r w:rsidRPr="004240B6">
        <w:t>Dans le fractionnateur qui comprend 55 plateaux à clapet, le GPL est introduit au niveau du 23</w:t>
      </w:r>
      <w:r w:rsidRPr="004240B6">
        <w:rPr>
          <w:vertAlign w:val="superscript"/>
        </w:rPr>
        <w:t>ème</w:t>
      </w:r>
      <w:r w:rsidRPr="004240B6">
        <w:t xml:space="preserve"> plateau, par la suite il est séparé en un produit de fond : le butane, et en un produit de tête : le propane.</w:t>
      </w:r>
    </w:p>
    <w:p w:rsidR="00BA5CD5" w:rsidRPr="004240B6" w:rsidRDefault="00BA5CD5" w:rsidP="00BA5CD5">
      <w:pPr>
        <w:spacing w:before="100" w:beforeAutospacing="1" w:after="100" w:afterAutospacing="1" w:line="360" w:lineRule="auto"/>
        <w:ind w:firstLine="708"/>
        <w:jc w:val="both"/>
      </w:pPr>
      <w:r w:rsidRPr="004240B6">
        <w:t xml:space="preserve">Les vapeurs de tête sont complètement condensées dans les aérocondenseurs (E-1002) et envoyées ensuite vers le ballon de reflux (V-1003); tout surpression dans ce ballon est évitée par la purge des non condensables vers la torche. Une partie des condensats récupérés du (V-1003) est repris par la pompe de reflux (P-1002) et renvoyée au (V-1001) comme reflux froid. Le liquide excédentaire à la sortie de (P-1002) est envoyé au déethaniseur(V-1102). Le liquide de tête du fractionnateur, au propane à teneur en éthane variable, est purifié dans le déethaniseur (V-1102) pour fournir au fond un propane commercial d’une teneur déterminée en éthane. Cette colonne (V-1102) contient 25 plateaux ; le produit de tête est un gaz riche en éthane, contenant jusqu’à </w:t>
      </w:r>
      <w:r w:rsidRPr="004240B6">
        <w:rPr>
          <w:bCs/>
        </w:rPr>
        <w:t>12 %</w:t>
      </w:r>
      <w:r w:rsidRPr="004240B6">
        <w:t xml:space="preserve"> en mole de propane.</w:t>
      </w:r>
    </w:p>
    <w:p w:rsidR="00BA5CD5" w:rsidRPr="004240B6" w:rsidRDefault="00BA5CD5" w:rsidP="00BA5CD5">
      <w:pPr>
        <w:spacing w:before="100" w:beforeAutospacing="1" w:after="100" w:afterAutospacing="1" w:line="360" w:lineRule="auto"/>
        <w:ind w:firstLine="708"/>
        <w:jc w:val="both"/>
      </w:pPr>
      <w:r w:rsidRPr="004240B6">
        <w:t xml:space="preserve">Ainsi la section de réfrigération fournit un propane utilisé comme fluide réfrigérant permettant  la condensation de reflux du déethaniseur, dans les condenseurs de têt (E-1006 A, B) à 5c° le gaz non condensé riche en éthane est séparé du reflux sous contrôle de la pression et envoyé dans le réseau </w:t>
      </w:r>
      <w:r w:rsidRPr="004240B6">
        <w:rPr>
          <w:i/>
        </w:rPr>
        <w:t>fuel-gaz</w:t>
      </w:r>
      <w:r w:rsidRPr="004240B6">
        <w:t xml:space="preserve"> de la section du fluide caloporteur.</w:t>
      </w:r>
    </w:p>
    <w:p w:rsidR="00BA5CD5" w:rsidRPr="004240B6" w:rsidRDefault="00BA5CD5" w:rsidP="00BA5CD5">
      <w:pPr>
        <w:spacing w:before="100" w:beforeAutospacing="1" w:after="100" w:afterAutospacing="1" w:line="360" w:lineRule="auto"/>
        <w:ind w:firstLine="708"/>
        <w:jc w:val="both"/>
      </w:pPr>
      <w:r w:rsidRPr="004240B6">
        <w:t>Le reflux condense est repris par la pompe (P-1003) et envoyé au (V-1102). La température de sortie du condenseur est maintenue constante en faisant varier la pression sur la côte fluide réfrigérant des condenseurs. La qualité du produit de fond  du (V-1102) est déterminée par le taux de rebouillage au (E-1007). On se sert de la température aux plateaux sensibles n° 22 comme critère de fonctionnement pour régler le débit d’huile chaude vers (E-1007), de manière à obtenir la teneur voulue d’éthane dans le propane commercial produit. Le propane produit sort du fond du déethaniseur (V-1102) vers le réfrigérant secondaire(E-1021) dans la section de réfrigération. Le produit est d’abord refroidit dans le préchauffeur (E-1004), et ensuite dans l’aéroréfrigérant   (E-1101) avant de pénétrer dans la section de réfrigération, où il est refroidit  à -38c°.</w:t>
      </w:r>
    </w:p>
    <w:p w:rsidR="00BA5CD5" w:rsidRPr="004240B6" w:rsidRDefault="00BA5CD5" w:rsidP="00BA5CD5">
      <w:pPr>
        <w:spacing w:before="100" w:beforeAutospacing="1" w:after="100" w:afterAutospacing="1" w:line="360" w:lineRule="auto"/>
        <w:ind w:firstLine="708"/>
        <w:jc w:val="both"/>
      </w:pPr>
      <w:r w:rsidRPr="004240B6">
        <w:lastRenderedPageBreak/>
        <w:t>La séparation entre le propane et le butane dans le fractionnateur (V-1101) est obtenue en choisissant les taux de reflux et taux de rebouillage corrects du (E-1003). On se sert de la température au 36</w:t>
      </w:r>
      <w:r w:rsidRPr="004240B6">
        <w:rPr>
          <w:vertAlign w:val="superscript"/>
        </w:rPr>
        <w:t>ème</w:t>
      </w:r>
      <w:r w:rsidRPr="004240B6">
        <w:t xml:space="preserve"> plateau comme critère de fonctionnement pour régler le débit d’huile chaude vers les rebouilleurs (E-1003 A,B )et déterminer la teneur en propane dans le butane commercial produit.</w:t>
      </w:r>
    </w:p>
    <w:p w:rsidR="00BA5CD5" w:rsidRPr="004240B6" w:rsidRDefault="00BA5CD5" w:rsidP="00BA5CD5">
      <w:pPr>
        <w:spacing w:before="100" w:beforeAutospacing="1" w:after="100" w:afterAutospacing="1" w:line="360" w:lineRule="auto"/>
        <w:ind w:firstLine="708"/>
        <w:jc w:val="both"/>
      </w:pPr>
      <w:r w:rsidRPr="004240B6">
        <w:t>Le liquide  au fond du fractionnateur représente essentiellement un butane à teneur  variable en pentane. En fonction de la teneur en pentane dans la charge, le butane peut nécessiter une dépentanisation ou non. En fonctionnement normal la dépentanisation (V-1103) n’est pas nécessaire.</w:t>
      </w:r>
    </w:p>
    <w:p w:rsidR="00BA5CD5" w:rsidRPr="004240B6" w:rsidRDefault="00BA5CD5" w:rsidP="00BA5CD5">
      <w:pPr>
        <w:spacing w:before="100" w:beforeAutospacing="1" w:after="100" w:afterAutospacing="1" w:line="360" w:lineRule="auto"/>
        <w:ind w:firstLine="708"/>
        <w:jc w:val="both"/>
      </w:pPr>
      <w:r w:rsidRPr="004240B6">
        <w:t>Cela explique pourquoi la phase (II) ne dispose pas de son propre dépentaniseur et que celui de la phase (I) est utilisé en commun pour les six trains des deux phases.</w:t>
      </w:r>
    </w:p>
    <w:p w:rsidR="00BA5CD5" w:rsidRPr="004240B6" w:rsidRDefault="00DC5B3A" w:rsidP="00BA5CD5">
      <w:pPr>
        <w:spacing w:before="100" w:beforeAutospacing="1" w:after="100" w:afterAutospacing="1" w:line="360" w:lineRule="auto"/>
        <w:jc w:val="both"/>
        <w:rPr>
          <w:b/>
          <w:bCs/>
          <w:u w:val="single"/>
        </w:rPr>
      </w:pPr>
      <w:r>
        <w:rPr>
          <w:b/>
        </w:rPr>
        <w:t xml:space="preserve"> </w:t>
      </w:r>
      <w:r w:rsidR="00F07EDD">
        <w:rPr>
          <w:b/>
        </w:rPr>
        <w:t>V.</w:t>
      </w:r>
      <w:r w:rsidR="00BA5CD5" w:rsidRPr="004240B6">
        <w:rPr>
          <w:b/>
        </w:rPr>
        <w:t xml:space="preserve">4. </w:t>
      </w:r>
      <w:r w:rsidR="00F07EDD" w:rsidRPr="00F07EDD">
        <w:rPr>
          <w:b/>
          <w:bCs/>
        </w:rPr>
        <w:t>DESCRIPTION DU FRACTIONNATEUR :</w:t>
      </w:r>
      <w:r w:rsidR="009E565E">
        <w:rPr>
          <w:b/>
          <w:bCs/>
        </w:rPr>
        <w:t>[12]</w:t>
      </w:r>
    </w:p>
    <w:p w:rsidR="00BA5CD5" w:rsidRPr="004240B6" w:rsidRDefault="00BA5CD5" w:rsidP="00BA5CD5">
      <w:pPr>
        <w:spacing w:before="100" w:beforeAutospacing="1" w:after="100" w:afterAutospacing="1" w:line="360" w:lineRule="auto"/>
        <w:ind w:firstLine="708"/>
        <w:jc w:val="both"/>
      </w:pPr>
      <w:r w:rsidRPr="004240B6">
        <w:t>La séparation du propane et du butane dans le fractionnateur est l’opération essentielle pour réaliser les taux de récupération voulus de chaque produit.</w:t>
      </w:r>
    </w:p>
    <w:p w:rsidR="00BA5CD5" w:rsidRPr="004240B6" w:rsidRDefault="00BA5CD5" w:rsidP="00BA5CD5">
      <w:pPr>
        <w:spacing w:before="100" w:beforeAutospacing="1" w:after="100" w:afterAutospacing="1" w:line="360" w:lineRule="auto"/>
        <w:ind w:firstLine="708"/>
        <w:jc w:val="both"/>
      </w:pPr>
      <w:r w:rsidRPr="004240B6">
        <w:t>Les variables d’exploitation disponibles afin d’assurer ce taux et la qualité voulue des produits sont discutées ci-dessous.</w:t>
      </w:r>
    </w:p>
    <w:p w:rsidR="00BA5CD5" w:rsidRDefault="00BA5CD5" w:rsidP="00BA5CD5">
      <w:pPr>
        <w:pStyle w:val="Paragraphedeliste"/>
        <w:numPr>
          <w:ilvl w:val="0"/>
          <w:numId w:val="1"/>
        </w:numPr>
        <w:tabs>
          <w:tab w:val="left" w:pos="709"/>
        </w:tabs>
        <w:spacing w:before="100" w:beforeAutospacing="1" w:after="100" w:afterAutospacing="1" w:line="360" w:lineRule="auto"/>
        <w:ind w:left="0" w:firstLine="284"/>
        <w:jc w:val="both"/>
        <w:rPr>
          <w:rFonts w:ascii="Times New Roman" w:hAnsi="Times New Roman" w:cs="Times New Roman"/>
          <w:b/>
          <w:bCs/>
          <w:sz w:val="24"/>
          <w:szCs w:val="24"/>
          <w:u w:val="single"/>
        </w:rPr>
      </w:pPr>
      <w:r w:rsidRPr="004240B6">
        <w:rPr>
          <w:rFonts w:ascii="Times New Roman" w:hAnsi="Times New Roman" w:cs="Times New Roman"/>
          <w:b/>
          <w:bCs/>
          <w:sz w:val="24"/>
          <w:szCs w:val="24"/>
          <w:u w:val="single"/>
        </w:rPr>
        <w:t>Température :</w:t>
      </w:r>
    </w:p>
    <w:p w:rsidR="00BA5CD5" w:rsidRPr="004240B6" w:rsidRDefault="00BA5CD5" w:rsidP="00BA5CD5">
      <w:pPr>
        <w:pStyle w:val="Paragraphedeliste"/>
        <w:tabs>
          <w:tab w:val="left" w:pos="709"/>
        </w:tabs>
        <w:spacing w:before="100" w:beforeAutospacing="1" w:after="100" w:afterAutospacing="1" w:line="360" w:lineRule="auto"/>
        <w:ind w:left="284"/>
        <w:jc w:val="both"/>
        <w:rPr>
          <w:rFonts w:ascii="Times New Roman" w:hAnsi="Times New Roman" w:cs="Times New Roman"/>
          <w:b/>
          <w:bCs/>
          <w:sz w:val="24"/>
          <w:szCs w:val="24"/>
          <w:u w:val="single"/>
        </w:rPr>
      </w:pPr>
    </w:p>
    <w:p w:rsidR="00BA5CD5" w:rsidRDefault="00BA5CD5" w:rsidP="00BA5CD5">
      <w:pPr>
        <w:pStyle w:val="Paragraphedeliste"/>
        <w:numPr>
          <w:ilvl w:val="0"/>
          <w:numId w:val="2"/>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Alimentation</w:t>
      </w:r>
      <w:r w:rsidRPr="004240B6">
        <w:rPr>
          <w:rFonts w:ascii="Times New Roman" w:hAnsi="Times New Roman" w:cs="Times New Roman"/>
          <w:sz w:val="24"/>
          <w:szCs w:val="24"/>
          <w:u w:val="wave"/>
        </w:rPr>
        <w:t> </w:t>
      </w:r>
      <w:r w:rsidRPr="004240B6">
        <w:rPr>
          <w:rFonts w:ascii="Times New Roman" w:hAnsi="Times New Roman" w:cs="Times New Roman"/>
          <w:sz w:val="24"/>
          <w:szCs w:val="24"/>
        </w:rPr>
        <w:t>: le point de consigne du (TIC-1101) doit être maintenue constant, si bien que l’alimentation vers la colonne se fait à proximité de son point de bulle. Cela s’étend pour le cas d’étude normal ; cependant lorsque le GPL provenant de la section de stockage de la charge est plus chaud que 30c°, il n’est plus possible de contrôler la température d’alimentation par le (TIC-1101). Dans ce cas, on ferme (TV-1101) au départ d’huile chaude vers le préchauffeur (E-1013).</w:t>
      </w: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sz w:val="24"/>
          <w:szCs w:val="24"/>
        </w:rPr>
      </w:pPr>
    </w:p>
    <w:p w:rsidR="00CF195F" w:rsidRDefault="00BA5CD5" w:rsidP="00BA5CD5">
      <w:pPr>
        <w:pStyle w:val="Paragraphedeliste"/>
        <w:numPr>
          <w:ilvl w:val="0"/>
          <w:numId w:val="2"/>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Plateau sensible</w:t>
      </w:r>
      <w:r w:rsidRPr="004240B6">
        <w:rPr>
          <w:rFonts w:ascii="Times New Roman" w:hAnsi="Times New Roman" w:cs="Times New Roman"/>
          <w:b/>
          <w:bCs/>
          <w:i/>
          <w:iCs/>
          <w:sz w:val="24"/>
          <w:szCs w:val="24"/>
        </w:rPr>
        <w:t> :</w:t>
      </w:r>
      <w:r w:rsidRPr="004240B6">
        <w:rPr>
          <w:rFonts w:ascii="Times New Roman" w:hAnsi="Times New Roman" w:cs="Times New Roman"/>
          <w:sz w:val="24"/>
          <w:szCs w:val="24"/>
        </w:rPr>
        <w:t xml:space="preserve"> la température au plateau 36 </w:t>
      </w:r>
      <w:r>
        <w:rPr>
          <w:rFonts w:ascii="Times New Roman" w:hAnsi="Times New Roman" w:cs="Times New Roman"/>
          <w:sz w:val="24"/>
          <w:szCs w:val="24"/>
          <w:vertAlign w:val="superscript"/>
        </w:rPr>
        <w:t>ié</w:t>
      </w:r>
      <w:r w:rsidRPr="004240B6">
        <w:rPr>
          <w:rFonts w:ascii="Times New Roman" w:hAnsi="Times New Roman" w:cs="Times New Roman"/>
          <w:sz w:val="24"/>
          <w:szCs w:val="24"/>
          <w:vertAlign w:val="superscript"/>
        </w:rPr>
        <w:t>me</w:t>
      </w:r>
      <w:r w:rsidRPr="004240B6">
        <w:rPr>
          <w:rFonts w:ascii="Times New Roman" w:hAnsi="Times New Roman" w:cs="Times New Roman"/>
          <w:sz w:val="24"/>
          <w:szCs w:val="24"/>
        </w:rPr>
        <w:t xml:space="preserve"> contrôle le rebouillage dans le fractionnateur et en particulier la teneur en propane du produit de fond, et par conséquence  la </w:t>
      </w:r>
    </w:p>
    <w:p w:rsidR="00CF195F" w:rsidRPr="00CF195F" w:rsidRDefault="00CF195F" w:rsidP="00CF195F">
      <w:pPr>
        <w:pStyle w:val="Paragraphedeliste"/>
        <w:rPr>
          <w:rFonts w:ascii="Times New Roman" w:hAnsi="Times New Roman" w:cs="Times New Roman"/>
          <w:sz w:val="24"/>
          <w:szCs w:val="24"/>
        </w:rPr>
      </w:pPr>
    </w:p>
    <w:p w:rsidR="00BA5CD5" w:rsidRDefault="00BA5CD5" w:rsidP="00BA5CD5">
      <w:pPr>
        <w:pStyle w:val="Paragraphedeliste"/>
        <w:numPr>
          <w:ilvl w:val="0"/>
          <w:numId w:val="2"/>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sz w:val="24"/>
          <w:szCs w:val="24"/>
        </w:rPr>
        <w:t xml:space="preserve">teneur en propane dans le butane commercial.il s’agit du paramètre essentiel avec le taux de reflux, qui détermine le taux de récupération aussi bien du propane que du butane. On </w:t>
      </w:r>
      <w:r w:rsidRPr="004240B6">
        <w:rPr>
          <w:rFonts w:ascii="Times New Roman" w:hAnsi="Times New Roman" w:cs="Times New Roman"/>
          <w:sz w:val="24"/>
          <w:szCs w:val="24"/>
        </w:rPr>
        <w:lastRenderedPageBreak/>
        <w:t>a choisi le plateau 36, par</w:t>
      </w:r>
      <w:r>
        <w:rPr>
          <w:rFonts w:ascii="Times New Roman" w:hAnsi="Times New Roman" w:cs="Times New Roman"/>
          <w:sz w:val="24"/>
          <w:szCs w:val="24"/>
        </w:rPr>
        <w:t xml:space="preserve"> </w:t>
      </w:r>
      <w:r w:rsidRPr="004240B6">
        <w:rPr>
          <w:rFonts w:ascii="Times New Roman" w:hAnsi="Times New Roman" w:cs="Times New Roman"/>
          <w:sz w:val="24"/>
          <w:szCs w:val="24"/>
        </w:rPr>
        <w:t>ce</w:t>
      </w:r>
      <w:r>
        <w:rPr>
          <w:rFonts w:ascii="Times New Roman" w:hAnsi="Times New Roman" w:cs="Times New Roman"/>
          <w:sz w:val="24"/>
          <w:szCs w:val="24"/>
        </w:rPr>
        <w:t xml:space="preserve"> </w:t>
      </w:r>
      <w:r w:rsidRPr="004240B6">
        <w:rPr>
          <w:rFonts w:ascii="Times New Roman" w:hAnsi="Times New Roman" w:cs="Times New Roman"/>
          <w:sz w:val="24"/>
          <w:szCs w:val="24"/>
        </w:rPr>
        <w:t xml:space="preserve">qu’à l’étude de la colonne, il ressort comme étant le plateau le plus sensible. Pour assurer le taux de récupération avec toutes les charges possibles, le (TIC-1102) doit être réglé à 96c°. la plage possible de fonctionnement qui permet le taux de récupération pour toutes ces charges est de 92 à 99c°. pour la charge normale d’étude n° 13, cette plage de fonctionnement correspond à une teneur de propane dans le butane de </w:t>
      </w:r>
      <w:r w:rsidRPr="004240B6">
        <w:rPr>
          <w:rFonts w:ascii="Times New Roman" w:hAnsi="Times New Roman" w:cs="Times New Roman"/>
          <w:bCs/>
          <w:sz w:val="24"/>
          <w:szCs w:val="24"/>
        </w:rPr>
        <w:t>0,9 à 0,4 %</w:t>
      </w:r>
      <w:r w:rsidRPr="004240B6">
        <w:rPr>
          <w:rFonts w:ascii="Times New Roman" w:hAnsi="Times New Roman" w:cs="Times New Roman"/>
          <w:sz w:val="24"/>
          <w:szCs w:val="24"/>
        </w:rPr>
        <w:t xml:space="preserve"> en mole.</w:t>
      </w:r>
    </w:p>
    <w:p w:rsidR="00BA5CD5" w:rsidRDefault="00BA5CD5" w:rsidP="00BA5CD5">
      <w:pPr>
        <w:pStyle w:val="Paragraphedeliste"/>
        <w:rPr>
          <w:rFonts w:ascii="Times New Roman" w:hAnsi="Times New Roman" w:cs="Times New Roman"/>
          <w:sz w:val="24"/>
          <w:szCs w:val="24"/>
        </w:rPr>
      </w:pP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sz w:val="24"/>
          <w:szCs w:val="24"/>
        </w:rPr>
      </w:pPr>
    </w:p>
    <w:p w:rsidR="00BA5CD5" w:rsidRDefault="00BA5CD5" w:rsidP="00BA5CD5">
      <w:pPr>
        <w:pStyle w:val="Paragraphedeliste"/>
        <w:numPr>
          <w:ilvl w:val="0"/>
          <w:numId w:val="2"/>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Plateau n° 14</w:t>
      </w:r>
      <w:r w:rsidRPr="004240B6">
        <w:rPr>
          <w:rFonts w:ascii="Times New Roman" w:hAnsi="Times New Roman" w:cs="Times New Roman"/>
          <w:sz w:val="24"/>
          <w:szCs w:val="24"/>
        </w:rPr>
        <w:t> : la température de ce plateau n’est pas vraiment une variable d’exploitation, mais avec (TIC-1102), elle donne une idée de degré de séparation dans le fractionnateur. Ainsi elle indique la qualité de produit de tête. En fonctionnement normal en devrait obtenir environ 61c° au plateau n° 14.</w:t>
      </w: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sz w:val="24"/>
          <w:szCs w:val="24"/>
        </w:rPr>
      </w:pPr>
    </w:p>
    <w:p w:rsidR="00BA5CD5" w:rsidRDefault="00BA5CD5" w:rsidP="00BA5CD5">
      <w:pPr>
        <w:pStyle w:val="Paragraphedeliste"/>
        <w:numPr>
          <w:ilvl w:val="0"/>
          <w:numId w:val="1"/>
        </w:numPr>
        <w:spacing w:before="100" w:beforeAutospacing="1" w:after="100" w:afterAutospacing="1" w:line="360" w:lineRule="auto"/>
        <w:ind w:left="0" w:firstLine="284"/>
        <w:jc w:val="both"/>
        <w:rPr>
          <w:rFonts w:ascii="Times New Roman" w:hAnsi="Times New Roman" w:cs="Times New Roman"/>
          <w:b/>
          <w:bCs/>
          <w:sz w:val="24"/>
          <w:szCs w:val="24"/>
          <w:u w:val="single"/>
        </w:rPr>
      </w:pPr>
      <w:r w:rsidRPr="004240B6">
        <w:rPr>
          <w:rFonts w:ascii="Times New Roman" w:hAnsi="Times New Roman" w:cs="Times New Roman"/>
          <w:b/>
          <w:bCs/>
          <w:sz w:val="24"/>
          <w:szCs w:val="24"/>
          <w:u w:val="single"/>
        </w:rPr>
        <w:t>Pression :</w:t>
      </w: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b/>
          <w:bCs/>
          <w:sz w:val="24"/>
          <w:szCs w:val="24"/>
          <w:u w:val="single"/>
        </w:rPr>
      </w:pPr>
    </w:p>
    <w:p w:rsidR="00BA5CD5" w:rsidRDefault="00BA5CD5" w:rsidP="00BA5CD5">
      <w:pPr>
        <w:pStyle w:val="Paragraphedeliste"/>
        <w:numPr>
          <w:ilvl w:val="0"/>
          <w:numId w:val="3"/>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Pression de la colonne</w:t>
      </w:r>
      <w:r w:rsidRPr="004240B6">
        <w:rPr>
          <w:rFonts w:ascii="Times New Roman" w:hAnsi="Times New Roman" w:cs="Times New Roman"/>
          <w:sz w:val="24"/>
          <w:szCs w:val="24"/>
        </w:rPr>
        <w:t> : le fractionnateur est conçu pour fonctionner à une pression fixe contrôlé par (PIC-1101) pour toutes les conditions de charge et de production, en vue d’un fonctionnement optimal.</w:t>
      </w: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sz w:val="24"/>
          <w:szCs w:val="24"/>
        </w:rPr>
      </w:pPr>
    </w:p>
    <w:p w:rsidR="00BA5CD5" w:rsidRDefault="00BA5CD5" w:rsidP="00BA5CD5">
      <w:pPr>
        <w:pStyle w:val="Paragraphedeliste"/>
        <w:numPr>
          <w:ilvl w:val="0"/>
          <w:numId w:val="3"/>
        </w:numPr>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Ballon de reflux</w:t>
      </w:r>
      <w:r w:rsidRPr="004240B6">
        <w:rPr>
          <w:rFonts w:ascii="Times New Roman" w:hAnsi="Times New Roman" w:cs="Times New Roman"/>
          <w:sz w:val="24"/>
          <w:szCs w:val="24"/>
        </w:rPr>
        <w:t> : (PIC-1105) devrait être réglé sur une pression constant ; ce contrôleur sert à éliminer toute surpression du système de tête qui pourrait se produire essentiellement par accumulation de composants inertes.</w:t>
      </w:r>
    </w:p>
    <w:p w:rsidR="00BA5CD5" w:rsidRDefault="00BA5CD5" w:rsidP="00BA5CD5">
      <w:pPr>
        <w:pStyle w:val="Paragraphedeliste"/>
        <w:rPr>
          <w:rFonts w:ascii="Times New Roman" w:hAnsi="Times New Roman" w:cs="Times New Roman"/>
          <w:sz w:val="24"/>
          <w:szCs w:val="24"/>
        </w:rPr>
      </w:pP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sz w:val="24"/>
          <w:szCs w:val="24"/>
        </w:rPr>
      </w:pPr>
    </w:p>
    <w:p w:rsidR="00BA5CD5" w:rsidRDefault="00BA5CD5" w:rsidP="00BA5CD5">
      <w:pPr>
        <w:pStyle w:val="Paragraphedeliste"/>
        <w:numPr>
          <w:ilvl w:val="0"/>
          <w:numId w:val="3"/>
        </w:numPr>
        <w:spacing w:before="100" w:beforeAutospacing="1" w:after="100" w:afterAutospacing="1" w:line="360" w:lineRule="auto"/>
        <w:ind w:left="0" w:firstLine="284"/>
        <w:rPr>
          <w:rFonts w:ascii="Times New Roman" w:hAnsi="Times New Roman" w:cs="Times New Roman"/>
          <w:sz w:val="24"/>
          <w:szCs w:val="24"/>
        </w:rPr>
      </w:pPr>
      <w:r w:rsidRPr="004240B6">
        <w:rPr>
          <w:rFonts w:ascii="Times New Roman" w:hAnsi="Times New Roman" w:cs="Times New Roman"/>
          <w:b/>
          <w:bCs/>
          <w:i/>
          <w:iCs/>
          <w:sz w:val="24"/>
          <w:szCs w:val="24"/>
          <w:u w:val="single"/>
        </w:rPr>
        <w:t>Pression différentielle de tête</w:t>
      </w:r>
      <w:r w:rsidRPr="004240B6">
        <w:rPr>
          <w:rFonts w:ascii="Times New Roman" w:hAnsi="Times New Roman" w:cs="Times New Roman"/>
          <w:sz w:val="24"/>
          <w:szCs w:val="24"/>
        </w:rPr>
        <w:t> : (PDIC-1104) détermine la pression de fonctionnement dans le ballon de reflux (V-1003). on doit s’en servir en liaison avec (TIC-1106). une différence de pression fixe est maintenue entre la pression en haut de la colonne  réglé par (PIC-1101) et la pression du (V-1003) afin d’obtenir  le fonctionnement stable du condenseur et assurer la facilite de contrôler de (PV-1101).</w:t>
      </w:r>
    </w:p>
    <w:p w:rsidR="00CF195F" w:rsidRDefault="00CF195F" w:rsidP="00CF195F">
      <w:pPr>
        <w:pStyle w:val="Paragraphedeliste"/>
        <w:spacing w:before="100" w:beforeAutospacing="1" w:after="100" w:afterAutospacing="1" w:line="360" w:lineRule="auto"/>
        <w:ind w:left="284"/>
        <w:rPr>
          <w:rFonts w:ascii="Times New Roman" w:hAnsi="Times New Roman" w:cs="Times New Roman"/>
          <w:sz w:val="24"/>
          <w:szCs w:val="24"/>
        </w:rPr>
      </w:pPr>
    </w:p>
    <w:p w:rsidR="00BA5CD5" w:rsidRDefault="00BA5CD5" w:rsidP="00BA5CD5">
      <w:pPr>
        <w:pStyle w:val="Paragraphedeliste"/>
        <w:spacing w:before="100" w:beforeAutospacing="1" w:after="100" w:afterAutospacing="1" w:line="360" w:lineRule="auto"/>
        <w:ind w:left="284"/>
        <w:rPr>
          <w:rFonts w:ascii="Times New Roman" w:hAnsi="Times New Roman" w:cs="Times New Roman"/>
          <w:sz w:val="24"/>
          <w:szCs w:val="24"/>
        </w:rPr>
      </w:pPr>
    </w:p>
    <w:p w:rsidR="00693B62" w:rsidRDefault="00693B62" w:rsidP="00BA5CD5">
      <w:pPr>
        <w:pStyle w:val="Paragraphedeliste"/>
        <w:spacing w:before="100" w:beforeAutospacing="1" w:after="100" w:afterAutospacing="1" w:line="360" w:lineRule="auto"/>
        <w:ind w:left="284"/>
        <w:rPr>
          <w:rFonts w:ascii="Times New Roman" w:hAnsi="Times New Roman" w:cs="Times New Roman"/>
          <w:sz w:val="24"/>
          <w:szCs w:val="24"/>
        </w:rPr>
      </w:pPr>
    </w:p>
    <w:p w:rsidR="00693B62" w:rsidRDefault="00693B62" w:rsidP="00BA5CD5">
      <w:pPr>
        <w:pStyle w:val="Paragraphedeliste"/>
        <w:spacing w:before="100" w:beforeAutospacing="1" w:after="100" w:afterAutospacing="1" w:line="360" w:lineRule="auto"/>
        <w:ind w:left="284"/>
        <w:rPr>
          <w:rFonts w:ascii="Times New Roman" w:hAnsi="Times New Roman" w:cs="Times New Roman"/>
          <w:sz w:val="24"/>
          <w:szCs w:val="24"/>
        </w:rPr>
      </w:pPr>
    </w:p>
    <w:p w:rsidR="00693B62" w:rsidRPr="004240B6" w:rsidRDefault="00693B62" w:rsidP="00BA5CD5">
      <w:pPr>
        <w:pStyle w:val="Paragraphedeliste"/>
        <w:spacing w:before="100" w:beforeAutospacing="1" w:after="100" w:afterAutospacing="1" w:line="360" w:lineRule="auto"/>
        <w:ind w:left="284"/>
        <w:rPr>
          <w:rFonts w:ascii="Times New Roman" w:hAnsi="Times New Roman" w:cs="Times New Roman"/>
          <w:sz w:val="24"/>
          <w:szCs w:val="24"/>
        </w:rPr>
      </w:pPr>
    </w:p>
    <w:p w:rsidR="00BA5CD5" w:rsidRDefault="00BA5CD5" w:rsidP="00BA5CD5">
      <w:pPr>
        <w:pStyle w:val="Paragraphedeliste"/>
        <w:numPr>
          <w:ilvl w:val="0"/>
          <w:numId w:val="1"/>
        </w:numPr>
        <w:spacing w:before="100" w:beforeAutospacing="1" w:after="100" w:afterAutospacing="1" w:line="360" w:lineRule="auto"/>
        <w:ind w:left="0" w:firstLine="284"/>
        <w:jc w:val="both"/>
        <w:rPr>
          <w:rFonts w:ascii="Times New Roman" w:hAnsi="Times New Roman" w:cs="Times New Roman"/>
          <w:b/>
          <w:bCs/>
          <w:sz w:val="24"/>
          <w:szCs w:val="24"/>
          <w:u w:val="single"/>
        </w:rPr>
      </w:pPr>
      <w:r w:rsidRPr="004240B6">
        <w:rPr>
          <w:rFonts w:ascii="Times New Roman" w:hAnsi="Times New Roman" w:cs="Times New Roman"/>
          <w:b/>
          <w:bCs/>
          <w:sz w:val="24"/>
          <w:szCs w:val="24"/>
          <w:u w:val="single"/>
        </w:rPr>
        <w:lastRenderedPageBreak/>
        <w:t>Débit :</w:t>
      </w:r>
    </w:p>
    <w:p w:rsidR="00BA5CD5" w:rsidRPr="004240B6" w:rsidRDefault="00BA5CD5" w:rsidP="00BA5CD5">
      <w:pPr>
        <w:pStyle w:val="Paragraphedeliste"/>
        <w:spacing w:before="100" w:beforeAutospacing="1" w:after="100" w:afterAutospacing="1" w:line="360" w:lineRule="auto"/>
        <w:ind w:left="284"/>
        <w:jc w:val="both"/>
        <w:rPr>
          <w:rFonts w:ascii="Times New Roman" w:hAnsi="Times New Roman" w:cs="Times New Roman"/>
          <w:b/>
          <w:bCs/>
          <w:sz w:val="24"/>
          <w:szCs w:val="24"/>
          <w:u w:val="single"/>
        </w:rPr>
      </w:pPr>
    </w:p>
    <w:p w:rsidR="00BA5CD5" w:rsidRPr="004240B6" w:rsidRDefault="00BA5CD5" w:rsidP="00BA5CD5">
      <w:pPr>
        <w:pStyle w:val="Paragraphedeliste"/>
        <w:numPr>
          <w:ilvl w:val="0"/>
          <w:numId w:val="4"/>
        </w:numPr>
        <w:tabs>
          <w:tab w:val="left" w:pos="567"/>
        </w:tabs>
        <w:spacing w:before="100" w:beforeAutospacing="1" w:after="100" w:afterAutospacing="1" w:line="360" w:lineRule="auto"/>
        <w:ind w:left="0" w:firstLine="284"/>
        <w:jc w:val="both"/>
        <w:rPr>
          <w:rFonts w:ascii="Times New Roman" w:hAnsi="Times New Roman" w:cs="Times New Roman"/>
          <w:sz w:val="24"/>
          <w:szCs w:val="24"/>
        </w:rPr>
      </w:pPr>
      <w:r w:rsidRPr="004240B6">
        <w:rPr>
          <w:rFonts w:ascii="Times New Roman" w:hAnsi="Times New Roman" w:cs="Times New Roman"/>
          <w:b/>
          <w:bCs/>
          <w:i/>
          <w:iCs/>
          <w:sz w:val="24"/>
          <w:szCs w:val="24"/>
          <w:u w:val="single"/>
        </w:rPr>
        <w:t>Reflux de tête</w:t>
      </w:r>
      <w:r w:rsidRPr="004240B6">
        <w:rPr>
          <w:rFonts w:ascii="Times New Roman" w:hAnsi="Times New Roman" w:cs="Times New Roman"/>
          <w:sz w:val="24"/>
          <w:szCs w:val="24"/>
        </w:rPr>
        <w:t xml:space="preserve"> : pendant le fonctionnement normal, le débit de reflux devrait être maintenu constant à </w:t>
      </w:r>
      <w:r w:rsidR="00CF195F">
        <w:rPr>
          <w:rFonts w:ascii="Times New Roman" w:hAnsi="Times New Roman" w:cs="Times New Roman"/>
          <w:bCs/>
          <w:sz w:val="24"/>
          <w:szCs w:val="24"/>
        </w:rPr>
        <w:t>240 m</w:t>
      </w:r>
      <w:r w:rsidR="00CF195F">
        <w:rPr>
          <w:rFonts w:ascii="Times New Roman" w:hAnsi="Times New Roman" w:cs="Times New Roman"/>
          <w:bCs/>
          <w:sz w:val="24"/>
          <w:szCs w:val="24"/>
          <w:vertAlign w:val="superscript"/>
        </w:rPr>
        <w:t>3</w:t>
      </w:r>
      <w:r w:rsidRPr="004240B6">
        <w:rPr>
          <w:rFonts w:ascii="Times New Roman" w:hAnsi="Times New Roman" w:cs="Times New Roman"/>
          <w:bCs/>
          <w:sz w:val="24"/>
          <w:szCs w:val="24"/>
        </w:rPr>
        <w:t>/h</w:t>
      </w:r>
      <w:r w:rsidRPr="004240B6">
        <w:rPr>
          <w:rFonts w:ascii="Times New Roman" w:hAnsi="Times New Roman" w:cs="Times New Roman"/>
          <w:sz w:val="24"/>
          <w:szCs w:val="24"/>
        </w:rPr>
        <w:t xml:space="preserve">. c’est la valeur d’étude, afin d’obtenir le fractionnement voulu pour le taux de récupération garanti du propane et du butane avec toutes les sources des charges possibles. Dans la plage de fonctionnement acceptable du (TIC-1102) indiquée plus haut et à ce taux de reflux fixe, on peut s’attendre à une variation de la teneur en butane du produit de tête entre </w:t>
      </w:r>
      <w:r w:rsidRPr="004240B6">
        <w:rPr>
          <w:rFonts w:ascii="Times New Roman" w:hAnsi="Times New Roman" w:cs="Times New Roman"/>
          <w:bCs/>
          <w:sz w:val="24"/>
          <w:szCs w:val="24"/>
        </w:rPr>
        <w:t>0,2 et 0,6%</w:t>
      </w:r>
      <w:r w:rsidRPr="004240B6">
        <w:rPr>
          <w:rFonts w:ascii="Times New Roman" w:hAnsi="Times New Roman" w:cs="Times New Roman"/>
          <w:sz w:val="24"/>
          <w:szCs w:val="24"/>
        </w:rPr>
        <w:t xml:space="preserve"> en mole, pour la charge normale d’étude. Lorsque la colonne ne fonctionne pas au débit nominal, il est importante de maintenir un reflux suffisant, afin d’assurer un fonctionnement stable de la colonne. Bien que le débit d’étude de </w:t>
      </w:r>
      <w:r w:rsidRPr="004240B6">
        <w:rPr>
          <w:rFonts w:ascii="Times New Roman" w:hAnsi="Times New Roman" w:cs="Times New Roman"/>
          <w:bCs/>
          <w:sz w:val="24"/>
          <w:szCs w:val="24"/>
        </w:rPr>
        <w:t>230 t/h</w:t>
      </w:r>
      <w:r w:rsidRPr="004240B6">
        <w:rPr>
          <w:rFonts w:ascii="Times New Roman" w:hAnsi="Times New Roman" w:cs="Times New Roman"/>
          <w:sz w:val="24"/>
          <w:szCs w:val="24"/>
        </w:rPr>
        <w:t xml:space="preserve"> ne soit pas nécessaire, l’expérience déterminera le meilleur débit de reflux à utiliser à capacité réduite. Un reflux plus faible, ou lus exactement un taux de reflux plus faible, le degré de séparation entre le propane et le butane. On ne devrait se servir d’un reflux moindre qu’en liaison avec (TIC-1102) pour modifier le fractionnement, en vue de fabriquer des produits d’une qualité specifique.il s’agit, alors d’une teneur plus élevée de propane dans le produit de fond ou vice-versa .Dans ce cas, le taux de récupération n’est plus la préoccupation principale.</w:t>
      </w:r>
    </w:p>
    <w:p w:rsidR="00BA5CD5" w:rsidRDefault="00BA5CD5" w:rsidP="00BA5CD5"/>
    <w:p w:rsidR="00BA5CD5" w:rsidRDefault="00BA5CD5" w:rsidP="00BA5CD5"/>
    <w:p w:rsidR="00BA5CD5" w:rsidRDefault="00BA5CD5" w:rsidP="00BA5CD5"/>
    <w:p w:rsidR="00BA5CD5" w:rsidRDefault="00BA5CD5" w:rsidP="00BA5CD5">
      <w:pPr>
        <w:tabs>
          <w:tab w:val="left" w:pos="3375"/>
        </w:tabs>
      </w:pPr>
      <w:r>
        <w:tab/>
      </w:r>
    </w:p>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E04140" w:rsidP="00E04140">
      <w:pPr>
        <w:tabs>
          <w:tab w:val="left" w:pos="1095"/>
        </w:tabs>
      </w:pPr>
      <w:r>
        <w:tab/>
      </w:r>
    </w:p>
    <w:p w:rsidR="00BA5CD5" w:rsidRDefault="00BA5CD5" w:rsidP="00BA5CD5"/>
    <w:p w:rsidR="00BA5CD5" w:rsidRDefault="00BA5CD5" w:rsidP="00BA5CD5"/>
    <w:p w:rsidR="00BA5CD5" w:rsidRDefault="005936E5" w:rsidP="00BA5CD5">
      <w:r>
        <w:rPr>
          <w:noProof/>
          <w:lang w:eastAsia="en-US"/>
        </w:rPr>
        <w:lastRenderedPageBreak/>
        <w:pict>
          <v:shapetype id="_x0000_t202" coordsize="21600,21600" o:spt="202" path="m,l,21600r21600,l21600,xe">
            <v:stroke joinstyle="miter"/>
            <v:path gradientshapeok="t" o:connecttype="rect"/>
          </v:shapetype>
          <v:shape id="_x0000_s1027" type="#_x0000_t202" style="position:absolute;margin-left:72.45pt;margin-top:-23.25pt;width:300.5pt;height:21.75pt;z-index:251672576;mso-height-percent:200;mso-height-percent:200;mso-width-relative:margin;mso-height-relative:margin">
            <v:textbox style="mso-fit-shape-to-text:t">
              <w:txbxContent>
                <w:p w:rsidR="00E04140" w:rsidRDefault="00E04140" w:rsidP="00E04140">
                  <w:r w:rsidRPr="00E04140">
                    <w:rPr>
                      <w:b/>
                      <w:bCs/>
                      <w:i/>
                      <w:iCs/>
                    </w:rPr>
                    <w:t>Figure V.1</w:t>
                  </w:r>
                  <w:r>
                    <w:t xml:space="preserve">  </w:t>
                  </w:r>
                  <w:r w:rsidRPr="00E04140">
                    <w:rPr>
                      <w:i/>
                      <w:iCs/>
                    </w:rPr>
                    <w:t>la section  de séparation</w:t>
                  </w:r>
                  <w:r w:rsidR="005936E5">
                    <w:rPr>
                      <w:i/>
                      <w:iCs/>
                    </w:rPr>
                    <w:t xml:space="preserve"> (déethaniseur)</w:t>
                  </w:r>
                </w:p>
              </w:txbxContent>
            </v:textbox>
          </v:shape>
        </w:pict>
      </w:r>
      <w:r>
        <w:rPr>
          <w:noProof/>
        </w:rPr>
        <w:drawing>
          <wp:anchor distT="0" distB="0" distL="114300" distR="114300" simplePos="0" relativeHeight="251668480" behindDoc="1" locked="0" layoutInCell="1" allowOverlap="1">
            <wp:simplePos x="0" y="0"/>
            <wp:positionH relativeFrom="column">
              <wp:posOffset>-747395</wp:posOffset>
            </wp:positionH>
            <wp:positionV relativeFrom="paragraph">
              <wp:posOffset>-52070</wp:posOffset>
            </wp:positionV>
            <wp:extent cx="7400925" cy="8505825"/>
            <wp:effectExtent l="19050" t="0" r="9525" b="0"/>
            <wp:wrapTight wrapText="bothSides">
              <wp:wrapPolygon edited="0">
                <wp:start x="-56" y="0"/>
                <wp:lineTo x="-56" y="21576"/>
                <wp:lineTo x="21628" y="21576"/>
                <wp:lineTo x="21628" y="0"/>
                <wp:lineTo x="-56" y="0"/>
              </wp:wrapPolygon>
            </wp:wrapTight>
            <wp:docPr id="7" name="Image 9" descr="C:\Documents and Settings\DELL\Bureau\MEMOIRE2O1O\ANEXELAGRAA\img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C:\Documents and Settings\DELL\Bureau\MEMOIRE2O1O\ANEXELAGRAA\img032.jpg"/>
                    <pic:cNvPicPr>
                      <a:picLocks noChangeAspect="1" noChangeArrowheads="1"/>
                    </pic:cNvPicPr>
                  </pic:nvPicPr>
                  <pic:blipFill>
                    <a:blip r:embed="rId7"/>
                    <a:srcRect/>
                    <a:stretch>
                      <a:fillRect/>
                    </a:stretch>
                  </pic:blipFill>
                  <pic:spPr bwMode="auto">
                    <a:xfrm>
                      <a:off x="0" y="0"/>
                      <a:ext cx="7400925" cy="8505825"/>
                    </a:xfrm>
                    <a:prstGeom prst="rect">
                      <a:avLst/>
                    </a:prstGeom>
                    <a:noFill/>
                    <a:ln w="9525">
                      <a:noFill/>
                      <a:miter lim="800000"/>
                      <a:headEnd/>
                      <a:tailEnd/>
                    </a:ln>
                  </pic:spPr>
                </pic:pic>
              </a:graphicData>
            </a:graphic>
          </wp:anchor>
        </w:drawing>
      </w:r>
    </w:p>
    <w:p w:rsidR="00BA5CD5" w:rsidRDefault="005936E5" w:rsidP="00BA5CD5">
      <w:r>
        <w:rPr>
          <w:noProof/>
        </w:rPr>
        <w:lastRenderedPageBreak/>
        <w:drawing>
          <wp:anchor distT="0" distB="0" distL="114300" distR="114300" simplePos="0" relativeHeight="251669504" behindDoc="1" locked="0" layoutInCell="1" allowOverlap="1">
            <wp:simplePos x="0" y="0"/>
            <wp:positionH relativeFrom="column">
              <wp:posOffset>-623570</wp:posOffset>
            </wp:positionH>
            <wp:positionV relativeFrom="paragraph">
              <wp:posOffset>-109220</wp:posOffset>
            </wp:positionV>
            <wp:extent cx="7277100" cy="8724900"/>
            <wp:effectExtent l="19050" t="0" r="0" b="0"/>
            <wp:wrapNone/>
            <wp:docPr id="8" name="Image 8" descr="C:\Documents and Settings\DELL\Bureau\MEMOIRE2O1O\ANEXELAGRAA\img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C:\Documents and Settings\DELL\Bureau\MEMOIRE2O1O\ANEXELAGRAA\img033.jpg"/>
                    <pic:cNvPicPr>
                      <a:picLocks noChangeAspect="1" noChangeArrowheads="1"/>
                    </pic:cNvPicPr>
                  </pic:nvPicPr>
                  <pic:blipFill>
                    <a:blip r:embed="rId8"/>
                    <a:srcRect/>
                    <a:stretch>
                      <a:fillRect/>
                    </a:stretch>
                  </pic:blipFill>
                  <pic:spPr bwMode="auto">
                    <a:xfrm>
                      <a:off x="0" y="0"/>
                      <a:ext cx="7277100" cy="8724900"/>
                    </a:xfrm>
                    <a:prstGeom prst="rect">
                      <a:avLst/>
                    </a:prstGeom>
                    <a:noFill/>
                    <a:ln w="9525">
                      <a:noFill/>
                      <a:miter lim="800000"/>
                      <a:headEnd/>
                      <a:tailEnd/>
                    </a:ln>
                  </pic:spPr>
                </pic:pic>
              </a:graphicData>
            </a:graphic>
          </wp:anchor>
        </w:drawing>
      </w:r>
    </w:p>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693B62"/>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BA5CD5" w:rsidRDefault="00BA5CD5" w:rsidP="00BA5CD5"/>
    <w:p w:rsidR="00750C88" w:rsidRDefault="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Pr="00750C88" w:rsidRDefault="00750C88" w:rsidP="00750C88"/>
    <w:p w:rsidR="00750C88" w:rsidRDefault="00750C88" w:rsidP="00750C88"/>
    <w:p w:rsidR="00750C88" w:rsidRDefault="00750C88" w:rsidP="00750C88"/>
    <w:p w:rsidR="0066116A" w:rsidRDefault="0066116A" w:rsidP="00750C88">
      <w:pPr>
        <w:jc w:val="center"/>
      </w:pPr>
    </w:p>
    <w:p w:rsidR="00750C88" w:rsidRDefault="00750C88" w:rsidP="00750C88">
      <w:pPr>
        <w:jc w:val="center"/>
      </w:pPr>
    </w:p>
    <w:p w:rsidR="00750C88" w:rsidRDefault="00750C88" w:rsidP="00750C88">
      <w:pPr>
        <w:jc w:val="center"/>
      </w:pPr>
    </w:p>
    <w:p w:rsidR="00750C88" w:rsidRDefault="00750C88" w:rsidP="00750C88">
      <w:pPr>
        <w:jc w:val="center"/>
      </w:pPr>
    </w:p>
    <w:p w:rsidR="00750C88" w:rsidRDefault="005936E5" w:rsidP="00750C88">
      <w:pPr>
        <w:jc w:val="center"/>
      </w:pPr>
      <w:r>
        <w:rPr>
          <w:noProof/>
        </w:rPr>
        <w:pict>
          <v:shape id="_x0000_s1029" type="#_x0000_t202" style="position:absolute;left:0;text-align:left;margin-left:108.15pt;margin-top:11.55pt;width:290.3pt;height:21.75pt;z-index:251674624;mso-height-percent:200;mso-height-percent:200;mso-width-relative:margin;mso-height-relative:margin">
            <v:textbox style="mso-fit-shape-to-text:t">
              <w:txbxContent>
                <w:p w:rsidR="00E04140" w:rsidRDefault="00E04140" w:rsidP="00E04140">
                  <w:r w:rsidRPr="00E04140">
                    <w:rPr>
                      <w:b/>
                      <w:bCs/>
                      <w:i/>
                      <w:iCs/>
                    </w:rPr>
                    <w:t>Figure V.</w:t>
                  </w:r>
                  <w:r>
                    <w:rPr>
                      <w:b/>
                      <w:bCs/>
                      <w:i/>
                      <w:iCs/>
                    </w:rPr>
                    <w:t>2</w:t>
                  </w:r>
                  <w:r>
                    <w:t xml:space="preserve">  </w:t>
                  </w:r>
                  <w:r w:rsidRPr="00E04140">
                    <w:rPr>
                      <w:i/>
                      <w:iCs/>
                    </w:rPr>
                    <w:t>la section  de séparation</w:t>
                  </w:r>
                  <w:r w:rsidR="005936E5">
                    <w:rPr>
                      <w:i/>
                      <w:iCs/>
                    </w:rPr>
                    <w:t>(depentaniseur)</w:t>
                  </w:r>
                </w:p>
              </w:txbxContent>
            </v:textbox>
          </v:shape>
        </w:pict>
      </w:r>
    </w:p>
    <w:p w:rsidR="00750C88" w:rsidRPr="00750C88" w:rsidRDefault="00750C88" w:rsidP="00750C88"/>
    <w:p w:rsidR="00750C88" w:rsidRPr="00750C88" w:rsidRDefault="00750C88" w:rsidP="00750C88"/>
    <w:p w:rsidR="00750C88" w:rsidRPr="00750C88" w:rsidRDefault="006F6633" w:rsidP="00750C88">
      <w:r>
        <w:rPr>
          <w:noProof/>
        </w:rPr>
        <w:drawing>
          <wp:anchor distT="0" distB="0" distL="114300" distR="114300" simplePos="0" relativeHeight="251670528" behindDoc="1" locked="0" layoutInCell="1" allowOverlap="1">
            <wp:simplePos x="0" y="0"/>
            <wp:positionH relativeFrom="column">
              <wp:posOffset>-556895</wp:posOffset>
            </wp:positionH>
            <wp:positionV relativeFrom="paragraph">
              <wp:posOffset>-13970</wp:posOffset>
            </wp:positionV>
            <wp:extent cx="7286625" cy="8782050"/>
            <wp:effectExtent l="19050" t="0" r="9525" b="0"/>
            <wp:wrapNone/>
            <wp:docPr id="9" name="Image 3" descr="C:\Documents and Settings\DELL\Bureau\MEMOIRE2O1O\ANEXELAGRAA\img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Documents and Settings\DELL\Bureau\MEMOIRE2O1O\ANEXELAGRAA\img031.jpg"/>
                    <pic:cNvPicPr>
                      <a:picLocks noChangeAspect="1" noChangeArrowheads="1"/>
                    </pic:cNvPicPr>
                  </pic:nvPicPr>
                  <pic:blipFill>
                    <a:blip r:embed="rId9"/>
                    <a:srcRect/>
                    <a:stretch>
                      <a:fillRect/>
                    </a:stretch>
                  </pic:blipFill>
                  <pic:spPr bwMode="auto">
                    <a:xfrm>
                      <a:off x="0" y="0"/>
                      <a:ext cx="7286625" cy="8782050"/>
                    </a:xfrm>
                    <a:prstGeom prst="rect">
                      <a:avLst/>
                    </a:prstGeom>
                    <a:noFill/>
                    <a:ln w="9525">
                      <a:noFill/>
                      <a:miter lim="800000"/>
                      <a:headEnd/>
                      <a:tailEnd/>
                    </a:ln>
                  </pic:spPr>
                </pic:pic>
              </a:graphicData>
            </a:graphic>
          </wp:anchor>
        </w:drawing>
      </w:r>
    </w:p>
    <w:p w:rsidR="00750C88" w:rsidRDefault="00750C88" w:rsidP="00750C88"/>
    <w:p w:rsidR="00750C88" w:rsidRPr="00750C88" w:rsidRDefault="0066564B" w:rsidP="00750C88">
      <w:pPr>
        <w:tabs>
          <w:tab w:val="left" w:pos="945"/>
        </w:tabs>
      </w:pPr>
      <w:r>
        <w:rPr>
          <w:noProof/>
        </w:rPr>
        <w:pict>
          <v:shape id="_x0000_s1028" type="#_x0000_t202" style="position:absolute;margin-left:104.1pt;margin-top:640.75pt;width:274.5pt;height:35.55pt;z-index:251673600;mso-height-percent:200;mso-height-percent:200;mso-width-relative:margin;mso-height-relative:margin">
            <v:textbox style="mso-fit-shape-to-text:t">
              <w:txbxContent>
                <w:p w:rsidR="00E04140" w:rsidRDefault="00E04140" w:rsidP="00E04140">
                  <w:r w:rsidRPr="00E04140">
                    <w:rPr>
                      <w:b/>
                      <w:bCs/>
                      <w:i/>
                      <w:iCs/>
                    </w:rPr>
                    <w:t>Figure V.</w:t>
                  </w:r>
                  <w:r>
                    <w:rPr>
                      <w:b/>
                      <w:bCs/>
                      <w:i/>
                      <w:iCs/>
                    </w:rPr>
                    <w:t>3</w:t>
                  </w:r>
                  <w:r>
                    <w:t xml:space="preserve"> </w:t>
                  </w:r>
                  <w:r w:rsidRPr="00E04140">
                    <w:rPr>
                      <w:i/>
                      <w:iCs/>
                    </w:rPr>
                    <w:t>la section  de séparation</w:t>
                  </w:r>
                  <w:r w:rsidR="005936E5">
                    <w:rPr>
                      <w:i/>
                      <w:iCs/>
                    </w:rPr>
                    <w:t>(fractionateur</w:t>
                  </w:r>
                </w:p>
              </w:txbxContent>
            </v:textbox>
          </v:shape>
        </w:pict>
      </w:r>
      <w:r w:rsidR="00750C88">
        <w:tab/>
      </w:r>
    </w:p>
    <w:sectPr w:rsidR="00750C88" w:rsidRPr="00750C88" w:rsidSect="00750C88">
      <w:headerReference w:type="default" r:id="rId10"/>
      <w:footerReference w:type="default" r:id="rId11"/>
      <w:pgSz w:w="11906" w:h="16838"/>
      <w:pgMar w:top="1417" w:right="1417" w:bottom="1417" w:left="1417" w:header="708" w:footer="708" w:gutter="0"/>
      <w:pgNumType w:start="8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1235" w:rsidRDefault="00DD1235" w:rsidP="00BA5CD5">
      <w:r>
        <w:separator/>
      </w:r>
    </w:p>
  </w:endnote>
  <w:endnote w:type="continuationSeparator" w:id="1">
    <w:p w:rsidR="00DD1235" w:rsidRDefault="00DD1235" w:rsidP="00BA5CD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onotype Corsiva">
    <w:panose1 w:val="03010101010201010101"/>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43532"/>
      <w:docPartObj>
        <w:docPartGallery w:val="Page Numbers (Bottom of Page)"/>
        <w:docPartUnique/>
      </w:docPartObj>
    </w:sdtPr>
    <w:sdtContent>
      <w:p w:rsidR="00693B62" w:rsidRDefault="0066564B">
        <w:pPr>
          <w:pStyle w:val="Pieddepage"/>
          <w:jc w:val="right"/>
        </w:pPr>
        <w:fldSimple w:instr=" PAGE   \* MERGEFORMAT ">
          <w:r w:rsidR="0079511F">
            <w:rPr>
              <w:noProof/>
            </w:rPr>
            <w:t>82</w:t>
          </w:r>
        </w:fldSimple>
      </w:p>
    </w:sdtContent>
  </w:sdt>
  <w:p w:rsidR="00693B62" w:rsidRDefault="00693B62">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1235" w:rsidRDefault="00DD1235" w:rsidP="00BA5CD5">
      <w:r>
        <w:separator/>
      </w:r>
    </w:p>
  </w:footnote>
  <w:footnote w:type="continuationSeparator" w:id="1">
    <w:p w:rsidR="00DD1235" w:rsidRDefault="00DD1235" w:rsidP="00BA5C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CD5" w:rsidRDefault="0066564B">
    <w:pPr>
      <w:pStyle w:val="En-tte"/>
    </w:pPr>
    <w:r>
      <w:rPr>
        <w:noProof/>
      </w:rPr>
      <w:pict>
        <v:group id="_x0000_s2049" style="position:absolute;margin-left:-20.7pt;margin-top:-17.85pt;width:513pt;height:44.3pt;z-index:251658240" coordorigin="877,1248" coordsize="10260,886">
          <v:rect id="_x0000_s2050" style="position:absolute;left:1597;top:1417;width:9540;height:540" fillcolor="#eaeaea" strokecolor="white">
            <v:textbox>
              <w:txbxContent>
                <w:p w:rsidR="00BA5CD5" w:rsidRPr="005936E5" w:rsidRDefault="00BA5CD5" w:rsidP="00BA5CD5">
                  <w:pPr>
                    <w:rPr>
                      <w:rFonts w:ascii="Monotype Corsiva" w:hAnsi="Monotype Corsiva"/>
                      <w:b/>
                      <w:bCs/>
                      <w:sz w:val="30"/>
                      <w:szCs w:val="30"/>
                    </w:rPr>
                  </w:pPr>
                  <w:r>
                    <w:t xml:space="preserve">                                                                                    </w:t>
                  </w:r>
                  <w:r w:rsidR="005936E5">
                    <w:t xml:space="preserve">                            </w:t>
                  </w:r>
                  <w:r w:rsidRPr="005936E5">
                    <w:rPr>
                      <w:rFonts w:ascii="Monotype Corsiva" w:hAnsi="Monotype Corsiva"/>
                      <w:b/>
                      <w:bCs/>
                      <w:sz w:val="30"/>
                      <w:szCs w:val="30"/>
                    </w:rPr>
                    <w:t>Description du procédé</w:t>
                  </w:r>
                </w:p>
              </w:txbxContent>
            </v:textbox>
          </v:rect>
          <v:rect id="_x0000_s2051" style="position:absolute;left:1066;top:1248;width:1611;height:529" fillcolor="silver" strokecolor="white">
            <v:fill color2="fill lighten(0)" rotate="t" method="linear sigma" focus="50%" type="gradient"/>
            <v:textbox>
              <w:txbxContent>
                <w:p w:rsidR="00BA5CD5" w:rsidRPr="005936E5" w:rsidRDefault="00BA5CD5" w:rsidP="00BA5CD5">
                  <w:pPr>
                    <w:jc w:val="center"/>
                    <w:rPr>
                      <w:rFonts w:ascii="Monotype Corsiva" w:hAnsi="Monotype Corsiva"/>
                      <w:b/>
                      <w:bCs/>
                      <w:i/>
                      <w:iCs/>
                      <w:sz w:val="30"/>
                      <w:szCs w:val="30"/>
                    </w:rPr>
                  </w:pPr>
                  <w:r w:rsidRPr="005936E5">
                    <w:rPr>
                      <w:rFonts w:ascii="Monotype Corsiva" w:hAnsi="Monotype Corsiva"/>
                      <w:b/>
                      <w:bCs/>
                      <w:i/>
                      <w:iCs/>
                      <w:sz w:val="30"/>
                      <w:szCs w:val="30"/>
                    </w:rPr>
                    <w:t>Chapitre V</w:t>
                  </w:r>
                </w:p>
              </w:txbxContent>
            </v:textbox>
          </v:rect>
          <v:rect id="_x0000_s2052" style="position:absolute;left:877;top:1597;width:360;height:360" fillcolor="silver" strokecolor="white">
            <v:fill color2="fill lighten(49)" rotate="t" focusposition=".5,.5" focussize="" method="linear sigma" type="gradientRadial"/>
          </v:rect>
          <v:rect id="_x0000_s2053" style="position:absolute;left:1060;top:1774;width:360;height:360;rotation:-2086454fd" fillcolor="silver" strokecolor="white">
            <v:fill color2="fill darken(118)" rotate="t" focusposition=".5,.5" focussize="" method="linear sigma" type="gradientRadial"/>
          </v:rect>
          <v:rect id="_x0000_s2054" style="position:absolute;left:1357;top:1702;width:360;height:360" fillcolor="#969696" strokecolor="white">
            <v:fill color2="fill lighten(0)" rotate="t" focusposition="1,1" focussize="" method="linear sigma" focus="100%" type="gradientRadial">
              <o:fill v:ext="view" type="gradientCenter"/>
            </v:fill>
          </v:rect>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11.25pt;height:11.25pt" o:bullet="t">
        <v:imagedata r:id="rId1" o:title="msoB"/>
      </v:shape>
    </w:pict>
  </w:numPicBullet>
  <w:abstractNum w:abstractNumId="0">
    <w:nsid w:val="13880801"/>
    <w:multiLevelType w:val="hybridMultilevel"/>
    <w:tmpl w:val="5BB0E842"/>
    <w:lvl w:ilvl="0" w:tplc="040C000B">
      <w:start w:val="1"/>
      <w:numFmt w:val="bullet"/>
      <w:lvlText w:val=""/>
      <w:lvlJc w:val="left"/>
      <w:pPr>
        <w:ind w:left="1494" w:hanging="360"/>
      </w:pPr>
      <w:rPr>
        <w:rFonts w:ascii="Wingdings" w:hAnsi="Wingdings"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
    <w:nsid w:val="45A348F6"/>
    <w:multiLevelType w:val="hybridMultilevel"/>
    <w:tmpl w:val="367E05D6"/>
    <w:lvl w:ilvl="0" w:tplc="040C0007">
      <w:start w:val="1"/>
      <w:numFmt w:val="bullet"/>
      <w:lvlText w:val=""/>
      <w:lvlPicBulletId w:val="0"/>
      <w:lvlJc w:val="left"/>
      <w:pPr>
        <w:ind w:left="928"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
    <w:nsid w:val="46765740"/>
    <w:multiLevelType w:val="hybridMultilevel"/>
    <w:tmpl w:val="0336723C"/>
    <w:lvl w:ilvl="0" w:tplc="040C000B">
      <w:start w:val="1"/>
      <w:numFmt w:val="bullet"/>
      <w:lvlText w:val=""/>
      <w:lvlJc w:val="left"/>
      <w:pPr>
        <w:ind w:left="1590" w:hanging="360"/>
      </w:pPr>
      <w:rPr>
        <w:rFonts w:ascii="Wingdings" w:hAnsi="Wingdings" w:hint="default"/>
      </w:rPr>
    </w:lvl>
    <w:lvl w:ilvl="1" w:tplc="040C0003" w:tentative="1">
      <w:start w:val="1"/>
      <w:numFmt w:val="bullet"/>
      <w:lvlText w:val="o"/>
      <w:lvlJc w:val="left"/>
      <w:pPr>
        <w:ind w:left="2310" w:hanging="360"/>
      </w:pPr>
      <w:rPr>
        <w:rFonts w:ascii="Courier New" w:hAnsi="Courier New" w:cs="Courier New" w:hint="default"/>
      </w:rPr>
    </w:lvl>
    <w:lvl w:ilvl="2" w:tplc="040C0005" w:tentative="1">
      <w:start w:val="1"/>
      <w:numFmt w:val="bullet"/>
      <w:lvlText w:val=""/>
      <w:lvlJc w:val="left"/>
      <w:pPr>
        <w:ind w:left="3030" w:hanging="360"/>
      </w:pPr>
      <w:rPr>
        <w:rFonts w:ascii="Wingdings" w:hAnsi="Wingdings" w:hint="default"/>
      </w:rPr>
    </w:lvl>
    <w:lvl w:ilvl="3" w:tplc="040C0001" w:tentative="1">
      <w:start w:val="1"/>
      <w:numFmt w:val="bullet"/>
      <w:lvlText w:val=""/>
      <w:lvlJc w:val="left"/>
      <w:pPr>
        <w:ind w:left="3750" w:hanging="360"/>
      </w:pPr>
      <w:rPr>
        <w:rFonts w:ascii="Symbol" w:hAnsi="Symbol" w:hint="default"/>
      </w:rPr>
    </w:lvl>
    <w:lvl w:ilvl="4" w:tplc="040C0003" w:tentative="1">
      <w:start w:val="1"/>
      <w:numFmt w:val="bullet"/>
      <w:lvlText w:val="o"/>
      <w:lvlJc w:val="left"/>
      <w:pPr>
        <w:ind w:left="4470" w:hanging="360"/>
      </w:pPr>
      <w:rPr>
        <w:rFonts w:ascii="Courier New" w:hAnsi="Courier New" w:cs="Courier New" w:hint="default"/>
      </w:rPr>
    </w:lvl>
    <w:lvl w:ilvl="5" w:tplc="040C0005" w:tentative="1">
      <w:start w:val="1"/>
      <w:numFmt w:val="bullet"/>
      <w:lvlText w:val=""/>
      <w:lvlJc w:val="left"/>
      <w:pPr>
        <w:ind w:left="5190" w:hanging="360"/>
      </w:pPr>
      <w:rPr>
        <w:rFonts w:ascii="Wingdings" w:hAnsi="Wingdings" w:hint="default"/>
      </w:rPr>
    </w:lvl>
    <w:lvl w:ilvl="6" w:tplc="040C0001" w:tentative="1">
      <w:start w:val="1"/>
      <w:numFmt w:val="bullet"/>
      <w:lvlText w:val=""/>
      <w:lvlJc w:val="left"/>
      <w:pPr>
        <w:ind w:left="5910" w:hanging="360"/>
      </w:pPr>
      <w:rPr>
        <w:rFonts w:ascii="Symbol" w:hAnsi="Symbol" w:hint="default"/>
      </w:rPr>
    </w:lvl>
    <w:lvl w:ilvl="7" w:tplc="040C0003" w:tentative="1">
      <w:start w:val="1"/>
      <w:numFmt w:val="bullet"/>
      <w:lvlText w:val="o"/>
      <w:lvlJc w:val="left"/>
      <w:pPr>
        <w:ind w:left="6630" w:hanging="360"/>
      </w:pPr>
      <w:rPr>
        <w:rFonts w:ascii="Courier New" w:hAnsi="Courier New" w:cs="Courier New" w:hint="default"/>
      </w:rPr>
    </w:lvl>
    <w:lvl w:ilvl="8" w:tplc="040C0005" w:tentative="1">
      <w:start w:val="1"/>
      <w:numFmt w:val="bullet"/>
      <w:lvlText w:val=""/>
      <w:lvlJc w:val="left"/>
      <w:pPr>
        <w:ind w:left="7350" w:hanging="360"/>
      </w:pPr>
      <w:rPr>
        <w:rFonts w:ascii="Wingdings" w:hAnsi="Wingdings" w:hint="default"/>
      </w:rPr>
    </w:lvl>
  </w:abstractNum>
  <w:abstractNum w:abstractNumId="3">
    <w:nsid w:val="6F432010"/>
    <w:multiLevelType w:val="hybridMultilevel"/>
    <w:tmpl w:val="957AD356"/>
    <w:lvl w:ilvl="0" w:tplc="040C000B">
      <w:start w:val="1"/>
      <w:numFmt w:val="bullet"/>
      <w:lvlText w:val=""/>
      <w:lvlJc w:val="left"/>
      <w:pPr>
        <w:ind w:left="928" w:hanging="360"/>
      </w:pPr>
      <w:rPr>
        <w:rFonts w:ascii="Wingdings" w:hAnsi="Wingdings" w:hint="default"/>
      </w:rPr>
    </w:lvl>
    <w:lvl w:ilvl="1" w:tplc="040C0003">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9218"/>
    <o:shapelayout v:ext="edit">
      <o:idmap v:ext="edit" data="2"/>
    </o:shapelayout>
  </w:hdrShapeDefaults>
  <w:footnotePr>
    <w:footnote w:id="0"/>
    <w:footnote w:id="1"/>
  </w:footnotePr>
  <w:endnotePr>
    <w:endnote w:id="0"/>
    <w:endnote w:id="1"/>
  </w:endnotePr>
  <w:compat/>
  <w:rsids>
    <w:rsidRoot w:val="00BA5CD5"/>
    <w:rsid w:val="00002CCA"/>
    <w:rsid w:val="00003FED"/>
    <w:rsid w:val="00007C06"/>
    <w:rsid w:val="000118AF"/>
    <w:rsid w:val="00021565"/>
    <w:rsid w:val="00024852"/>
    <w:rsid w:val="00035482"/>
    <w:rsid w:val="0003626C"/>
    <w:rsid w:val="00054084"/>
    <w:rsid w:val="000573C2"/>
    <w:rsid w:val="00064AAC"/>
    <w:rsid w:val="00080507"/>
    <w:rsid w:val="000815FD"/>
    <w:rsid w:val="00093674"/>
    <w:rsid w:val="0009767D"/>
    <w:rsid w:val="000B3FE6"/>
    <w:rsid w:val="000B406C"/>
    <w:rsid w:val="000C2F8C"/>
    <w:rsid w:val="000E6173"/>
    <w:rsid w:val="000F56A1"/>
    <w:rsid w:val="001024E1"/>
    <w:rsid w:val="001245C9"/>
    <w:rsid w:val="00137D93"/>
    <w:rsid w:val="001530C7"/>
    <w:rsid w:val="00155AB3"/>
    <w:rsid w:val="00164990"/>
    <w:rsid w:val="0018189F"/>
    <w:rsid w:val="0018565D"/>
    <w:rsid w:val="00195261"/>
    <w:rsid w:val="001A1458"/>
    <w:rsid w:val="001B3D77"/>
    <w:rsid w:val="001B435C"/>
    <w:rsid w:val="001B787F"/>
    <w:rsid w:val="001C0AAE"/>
    <w:rsid w:val="001C523D"/>
    <w:rsid w:val="001D2AD7"/>
    <w:rsid w:val="001D62E8"/>
    <w:rsid w:val="001E563A"/>
    <w:rsid w:val="0021700C"/>
    <w:rsid w:val="0022247F"/>
    <w:rsid w:val="00232691"/>
    <w:rsid w:val="00242667"/>
    <w:rsid w:val="002443CF"/>
    <w:rsid w:val="00244AD9"/>
    <w:rsid w:val="002533F1"/>
    <w:rsid w:val="00255049"/>
    <w:rsid w:val="00256A52"/>
    <w:rsid w:val="00281980"/>
    <w:rsid w:val="002841C6"/>
    <w:rsid w:val="00295B7A"/>
    <w:rsid w:val="002A0885"/>
    <w:rsid w:val="002A63B9"/>
    <w:rsid w:val="002B001A"/>
    <w:rsid w:val="002B1105"/>
    <w:rsid w:val="002C1B0E"/>
    <w:rsid w:val="002C68C6"/>
    <w:rsid w:val="002D5933"/>
    <w:rsid w:val="002E0FAC"/>
    <w:rsid w:val="002E4470"/>
    <w:rsid w:val="002E4E8E"/>
    <w:rsid w:val="002F0CEA"/>
    <w:rsid w:val="00306BA3"/>
    <w:rsid w:val="00307A77"/>
    <w:rsid w:val="00315AE7"/>
    <w:rsid w:val="00337E13"/>
    <w:rsid w:val="003524F8"/>
    <w:rsid w:val="0037674A"/>
    <w:rsid w:val="00396D95"/>
    <w:rsid w:val="003A011B"/>
    <w:rsid w:val="003A2E48"/>
    <w:rsid w:val="003B015B"/>
    <w:rsid w:val="003B08C1"/>
    <w:rsid w:val="003B1021"/>
    <w:rsid w:val="003B6826"/>
    <w:rsid w:val="003C16A3"/>
    <w:rsid w:val="003C72EA"/>
    <w:rsid w:val="003D3E6E"/>
    <w:rsid w:val="003D6C15"/>
    <w:rsid w:val="003E311F"/>
    <w:rsid w:val="003E3137"/>
    <w:rsid w:val="003E5A12"/>
    <w:rsid w:val="0040317A"/>
    <w:rsid w:val="00413C14"/>
    <w:rsid w:val="00433C83"/>
    <w:rsid w:val="0044327E"/>
    <w:rsid w:val="00443C20"/>
    <w:rsid w:val="00446397"/>
    <w:rsid w:val="00446ADC"/>
    <w:rsid w:val="00455956"/>
    <w:rsid w:val="00462E2A"/>
    <w:rsid w:val="004658CF"/>
    <w:rsid w:val="004739F7"/>
    <w:rsid w:val="004814A1"/>
    <w:rsid w:val="00494903"/>
    <w:rsid w:val="004A46E8"/>
    <w:rsid w:val="004A6C0D"/>
    <w:rsid w:val="004C3270"/>
    <w:rsid w:val="004E541D"/>
    <w:rsid w:val="004F092E"/>
    <w:rsid w:val="00503140"/>
    <w:rsid w:val="00510973"/>
    <w:rsid w:val="005158A8"/>
    <w:rsid w:val="005158EA"/>
    <w:rsid w:val="0051595D"/>
    <w:rsid w:val="00526136"/>
    <w:rsid w:val="00526267"/>
    <w:rsid w:val="00534D60"/>
    <w:rsid w:val="005412F1"/>
    <w:rsid w:val="00541617"/>
    <w:rsid w:val="005465E5"/>
    <w:rsid w:val="005550AC"/>
    <w:rsid w:val="00563867"/>
    <w:rsid w:val="0057482A"/>
    <w:rsid w:val="00576899"/>
    <w:rsid w:val="00581025"/>
    <w:rsid w:val="00586F61"/>
    <w:rsid w:val="005936E5"/>
    <w:rsid w:val="005B39E4"/>
    <w:rsid w:val="005B4E8C"/>
    <w:rsid w:val="005B6BE3"/>
    <w:rsid w:val="005D069A"/>
    <w:rsid w:val="005D7665"/>
    <w:rsid w:val="005E2164"/>
    <w:rsid w:val="005E49A3"/>
    <w:rsid w:val="005F605A"/>
    <w:rsid w:val="005F650C"/>
    <w:rsid w:val="00606AA0"/>
    <w:rsid w:val="006168B8"/>
    <w:rsid w:val="00621719"/>
    <w:rsid w:val="00627241"/>
    <w:rsid w:val="00632E34"/>
    <w:rsid w:val="0064787F"/>
    <w:rsid w:val="00657045"/>
    <w:rsid w:val="0066116A"/>
    <w:rsid w:val="0066564B"/>
    <w:rsid w:val="006748D8"/>
    <w:rsid w:val="00675052"/>
    <w:rsid w:val="00687C78"/>
    <w:rsid w:val="00693B62"/>
    <w:rsid w:val="00693CFD"/>
    <w:rsid w:val="006A04F6"/>
    <w:rsid w:val="006A13E6"/>
    <w:rsid w:val="006A1CE6"/>
    <w:rsid w:val="006A1D48"/>
    <w:rsid w:val="006A69C5"/>
    <w:rsid w:val="006B4CE4"/>
    <w:rsid w:val="006B6C6A"/>
    <w:rsid w:val="006C4500"/>
    <w:rsid w:val="006C5B1D"/>
    <w:rsid w:val="006D51F5"/>
    <w:rsid w:val="006E0301"/>
    <w:rsid w:val="006F2498"/>
    <w:rsid w:val="006F3DF4"/>
    <w:rsid w:val="006F6633"/>
    <w:rsid w:val="006F710F"/>
    <w:rsid w:val="00723D22"/>
    <w:rsid w:val="00723ED3"/>
    <w:rsid w:val="00750C88"/>
    <w:rsid w:val="00762187"/>
    <w:rsid w:val="0076240D"/>
    <w:rsid w:val="00771A37"/>
    <w:rsid w:val="00774315"/>
    <w:rsid w:val="00776611"/>
    <w:rsid w:val="00776D7E"/>
    <w:rsid w:val="00791B85"/>
    <w:rsid w:val="00794455"/>
    <w:rsid w:val="00794676"/>
    <w:rsid w:val="0079511F"/>
    <w:rsid w:val="00795229"/>
    <w:rsid w:val="007A44CF"/>
    <w:rsid w:val="007A696D"/>
    <w:rsid w:val="007C3F2E"/>
    <w:rsid w:val="007C4042"/>
    <w:rsid w:val="007D38EC"/>
    <w:rsid w:val="007D6584"/>
    <w:rsid w:val="007F033A"/>
    <w:rsid w:val="007F6E05"/>
    <w:rsid w:val="008037DD"/>
    <w:rsid w:val="008040E3"/>
    <w:rsid w:val="008156E5"/>
    <w:rsid w:val="008476C6"/>
    <w:rsid w:val="00850619"/>
    <w:rsid w:val="00854F47"/>
    <w:rsid w:val="00864006"/>
    <w:rsid w:val="00867AD2"/>
    <w:rsid w:val="00867E3F"/>
    <w:rsid w:val="00877EF4"/>
    <w:rsid w:val="00891BF2"/>
    <w:rsid w:val="008A066B"/>
    <w:rsid w:val="008A07F2"/>
    <w:rsid w:val="008A2325"/>
    <w:rsid w:val="008A4BAD"/>
    <w:rsid w:val="008B1E84"/>
    <w:rsid w:val="008B5A0C"/>
    <w:rsid w:val="008B717D"/>
    <w:rsid w:val="008C698A"/>
    <w:rsid w:val="008C75F0"/>
    <w:rsid w:val="008D216E"/>
    <w:rsid w:val="008E2B30"/>
    <w:rsid w:val="008E754D"/>
    <w:rsid w:val="008F1D9E"/>
    <w:rsid w:val="008F2E82"/>
    <w:rsid w:val="00905837"/>
    <w:rsid w:val="00905E82"/>
    <w:rsid w:val="00912E86"/>
    <w:rsid w:val="00914D5E"/>
    <w:rsid w:val="00915741"/>
    <w:rsid w:val="00915DC6"/>
    <w:rsid w:val="00924CB3"/>
    <w:rsid w:val="00924F21"/>
    <w:rsid w:val="009421E7"/>
    <w:rsid w:val="00943762"/>
    <w:rsid w:val="009471F4"/>
    <w:rsid w:val="00952F8F"/>
    <w:rsid w:val="009548B6"/>
    <w:rsid w:val="0096093C"/>
    <w:rsid w:val="00961D06"/>
    <w:rsid w:val="00963915"/>
    <w:rsid w:val="00965001"/>
    <w:rsid w:val="0097471B"/>
    <w:rsid w:val="00982320"/>
    <w:rsid w:val="00982AE0"/>
    <w:rsid w:val="009A6474"/>
    <w:rsid w:val="009B3209"/>
    <w:rsid w:val="009B5D94"/>
    <w:rsid w:val="009C1141"/>
    <w:rsid w:val="009D01C5"/>
    <w:rsid w:val="009D5398"/>
    <w:rsid w:val="009E0487"/>
    <w:rsid w:val="009E565E"/>
    <w:rsid w:val="009F2C96"/>
    <w:rsid w:val="00A03624"/>
    <w:rsid w:val="00A125F2"/>
    <w:rsid w:val="00A23988"/>
    <w:rsid w:val="00A2713D"/>
    <w:rsid w:val="00A43999"/>
    <w:rsid w:val="00A52437"/>
    <w:rsid w:val="00A63DC7"/>
    <w:rsid w:val="00A70413"/>
    <w:rsid w:val="00A77248"/>
    <w:rsid w:val="00A77DB1"/>
    <w:rsid w:val="00A809D0"/>
    <w:rsid w:val="00A91AF5"/>
    <w:rsid w:val="00A91CC5"/>
    <w:rsid w:val="00A92202"/>
    <w:rsid w:val="00AA1B25"/>
    <w:rsid w:val="00AA4273"/>
    <w:rsid w:val="00AA6283"/>
    <w:rsid w:val="00AA6837"/>
    <w:rsid w:val="00AC0ECC"/>
    <w:rsid w:val="00AD22EC"/>
    <w:rsid w:val="00AE0C32"/>
    <w:rsid w:val="00B04242"/>
    <w:rsid w:val="00B10FD6"/>
    <w:rsid w:val="00B159D6"/>
    <w:rsid w:val="00B2106F"/>
    <w:rsid w:val="00B212AF"/>
    <w:rsid w:val="00B32134"/>
    <w:rsid w:val="00B4384D"/>
    <w:rsid w:val="00B447C3"/>
    <w:rsid w:val="00B4745E"/>
    <w:rsid w:val="00B52605"/>
    <w:rsid w:val="00B52A83"/>
    <w:rsid w:val="00B54168"/>
    <w:rsid w:val="00B71757"/>
    <w:rsid w:val="00B91E1B"/>
    <w:rsid w:val="00BA5CD5"/>
    <w:rsid w:val="00BA6494"/>
    <w:rsid w:val="00BC6E8C"/>
    <w:rsid w:val="00BD1054"/>
    <w:rsid w:val="00BD356F"/>
    <w:rsid w:val="00BD3DF9"/>
    <w:rsid w:val="00BD5252"/>
    <w:rsid w:val="00BD6141"/>
    <w:rsid w:val="00BD6DEE"/>
    <w:rsid w:val="00BD6F31"/>
    <w:rsid w:val="00BE0960"/>
    <w:rsid w:val="00BF0447"/>
    <w:rsid w:val="00C02C25"/>
    <w:rsid w:val="00C11B3D"/>
    <w:rsid w:val="00C234CC"/>
    <w:rsid w:val="00C278FB"/>
    <w:rsid w:val="00C401C5"/>
    <w:rsid w:val="00C44F8F"/>
    <w:rsid w:val="00C45779"/>
    <w:rsid w:val="00C5174F"/>
    <w:rsid w:val="00C530B4"/>
    <w:rsid w:val="00C56120"/>
    <w:rsid w:val="00C626A4"/>
    <w:rsid w:val="00C62808"/>
    <w:rsid w:val="00C701F3"/>
    <w:rsid w:val="00C714E0"/>
    <w:rsid w:val="00C80410"/>
    <w:rsid w:val="00C84694"/>
    <w:rsid w:val="00C90F28"/>
    <w:rsid w:val="00C95B4B"/>
    <w:rsid w:val="00C97BB4"/>
    <w:rsid w:val="00CA177F"/>
    <w:rsid w:val="00CB3352"/>
    <w:rsid w:val="00CB3861"/>
    <w:rsid w:val="00CB5824"/>
    <w:rsid w:val="00CC0107"/>
    <w:rsid w:val="00CD157A"/>
    <w:rsid w:val="00CD37FD"/>
    <w:rsid w:val="00CF195F"/>
    <w:rsid w:val="00D04E11"/>
    <w:rsid w:val="00D1365A"/>
    <w:rsid w:val="00D32D34"/>
    <w:rsid w:val="00D361CC"/>
    <w:rsid w:val="00D53CF3"/>
    <w:rsid w:val="00D60298"/>
    <w:rsid w:val="00D64B5B"/>
    <w:rsid w:val="00D658A8"/>
    <w:rsid w:val="00D80BCE"/>
    <w:rsid w:val="00D857D3"/>
    <w:rsid w:val="00D90EF6"/>
    <w:rsid w:val="00DA10D2"/>
    <w:rsid w:val="00DA6712"/>
    <w:rsid w:val="00DB0838"/>
    <w:rsid w:val="00DB401F"/>
    <w:rsid w:val="00DC5B3A"/>
    <w:rsid w:val="00DC7664"/>
    <w:rsid w:val="00DD1235"/>
    <w:rsid w:val="00DD5D8B"/>
    <w:rsid w:val="00DE2A29"/>
    <w:rsid w:val="00DE7102"/>
    <w:rsid w:val="00DF33DF"/>
    <w:rsid w:val="00DF371D"/>
    <w:rsid w:val="00E04140"/>
    <w:rsid w:val="00E0781E"/>
    <w:rsid w:val="00E164DA"/>
    <w:rsid w:val="00E17BB1"/>
    <w:rsid w:val="00E223B4"/>
    <w:rsid w:val="00E30DC4"/>
    <w:rsid w:val="00E347D8"/>
    <w:rsid w:val="00E41E2E"/>
    <w:rsid w:val="00E44BEE"/>
    <w:rsid w:val="00E455FB"/>
    <w:rsid w:val="00E54307"/>
    <w:rsid w:val="00E612F3"/>
    <w:rsid w:val="00E66A73"/>
    <w:rsid w:val="00E8495B"/>
    <w:rsid w:val="00E8631F"/>
    <w:rsid w:val="00E9489E"/>
    <w:rsid w:val="00EA3655"/>
    <w:rsid w:val="00EA5BE8"/>
    <w:rsid w:val="00EE2084"/>
    <w:rsid w:val="00EF4AE3"/>
    <w:rsid w:val="00F029B1"/>
    <w:rsid w:val="00F07EDD"/>
    <w:rsid w:val="00F102BB"/>
    <w:rsid w:val="00F12323"/>
    <w:rsid w:val="00F533BA"/>
    <w:rsid w:val="00F53FE0"/>
    <w:rsid w:val="00F5533A"/>
    <w:rsid w:val="00F570D0"/>
    <w:rsid w:val="00F61F78"/>
    <w:rsid w:val="00F62261"/>
    <w:rsid w:val="00F6591F"/>
    <w:rsid w:val="00F66983"/>
    <w:rsid w:val="00F7532D"/>
    <w:rsid w:val="00F7663C"/>
    <w:rsid w:val="00F82331"/>
    <w:rsid w:val="00F937DA"/>
    <w:rsid w:val="00F97E71"/>
    <w:rsid w:val="00FA2450"/>
    <w:rsid w:val="00FA371E"/>
    <w:rsid w:val="00FA3946"/>
    <w:rsid w:val="00FA4288"/>
    <w:rsid w:val="00FB3D76"/>
    <w:rsid w:val="00FE2C13"/>
    <w:rsid w:val="00FF036E"/>
    <w:rsid w:val="00FF3B7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5CD5"/>
    <w:pPr>
      <w:spacing w:after="0" w:line="240" w:lineRule="auto"/>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A5CD5"/>
    <w:pPr>
      <w:spacing w:after="200" w:line="276" w:lineRule="auto"/>
      <w:ind w:left="720"/>
      <w:contextualSpacing/>
    </w:pPr>
    <w:rPr>
      <w:rFonts w:ascii="Calibri" w:eastAsia="Calibri" w:hAnsi="Calibri" w:cs="Arial"/>
      <w:sz w:val="22"/>
      <w:szCs w:val="22"/>
      <w:lang w:eastAsia="en-US"/>
    </w:rPr>
  </w:style>
  <w:style w:type="paragraph" w:styleId="En-tte">
    <w:name w:val="header"/>
    <w:basedOn w:val="Normal"/>
    <w:link w:val="En-tteCar"/>
    <w:uiPriority w:val="99"/>
    <w:unhideWhenUsed/>
    <w:rsid w:val="00BA5CD5"/>
    <w:pPr>
      <w:tabs>
        <w:tab w:val="center" w:pos="4536"/>
        <w:tab w:val="right" w:pos="9072"/>
      </w:tabs>
    </w:pPr>
  </w:style>
  <w:style w:type="character" w:customStyle="1" w:styleId="En-tteCar">
    <w:name w:val="En-tête Car"/>
    <w:basedOn w:val="Policepardfaut"/>
    <w:link w:val="En-tte"/>
    <w:uiPriority w:val="99"/>
    <w:rsid w:val="00BA5CD5"/>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BA5CD5"/>
    <w:pPr>
      <w:tabs>
        <w:tab w:val="center" w:pos="4536"/>
        <w:tab w:val="right" w:pos="9072"/>
      </w:tabs>
    </w:pPr>
  </w:style>
  <w:style w:type="character" w:customStyle="1" w:styleId="PieddepageCar">
    <w:name w:val="Pied de page Car"/>
    <w:basedOn w:val="Policepardfaut"/>
    <w:link w:val="Pieddepage"/>
    <w:uiPriority w:val="99"/>
    <w:rsid w:val="00BA5CD5"/>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BA5CD5"/>
    <w:rPr>
      <w:rFonts w:ascii="Tahoma" w:hAnsi="Tahoma" w:cs="Tahoma"/>
      <w:sz w:val="16"/>
      <w:szCs w:val="16"/>
    </w:rPr>
  </w:style>
  <w:style w:type="character" w:customStyle="1" w:styleId="TextedebullesCar">
    <w:name w:val="Texte de bulles Car"/>
    <w:basedOn w:val="Policepardfaut"/>
    <w:link w:val="Textedebulles"/>
    <w:uiPriority w:val="99"/>
    <w:semiHidden/>
    <w:rsid w:val="00BA5CD5"/>
    <w:rPr>
      <w:rFonts w:ascii="Tahoma" w:eastAsia="Times New Roman" w:hAnsi="Tahoma" w:cs="Tahoma"/>
      <w:sz w:val="16"/>
      <w:szCs w:val="16"/>
      <w:lang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9</Pages>
  <Words>1636</Words>
  <Characters>9003</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
    </vt:vector>
  </TitlesOfParts>
  <Company>za und za</Company>
  <LinksUpToDate>false</LinksUpToDate>
  <CharactersWithSpaces>10618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zahira</dc:creator>
  <cp:keywords/>
  <dc:description/>
  <cp:lastModifiedBy>zahira</cp:lastModifiedBy>
  <cp:revision>14</cp:revision>
  <cp:lastPrinted>2005-10-25T19:46:00Z</cp:lastPrinted>
  <dcterms:created xsi:type="dcterms:W3CDTF">2005-10-14T19:52:00Z</dcterms:created>
  <dcterms:modified xsi:type="dcterms:W3CDTF">2005-10-25T19:56:00Z</dcterms:modified>
</cp:coreProperties>
</file>